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Garamond" w:cs="Garamond" w:eastAsia="Garamond" w:hAnsi="Garamond"/>
          <w:b/>
          <w:bCs/>
          <w:color w:val="1B3A5C"/>
          <w:sz w:val="48"/>
          <w:szCs w:val="48"/>
        </w:rPr>
        <w:t xml:space="preserve">ANA MARÍA MERICO-STEPHENS</w:t>
      </w:r>
    </w:p>
    <w:p>
      <w:pPr>
        <w:spacing w:after="40" w:before="0"/>
        <w:jc w:val="center"/>
      </w:pPr>
      <w:r>
        <w:rPr>
          <w:rFonts w:ascii="Garamond" w:cs="Garamond" w:eastAsia="Garamond" w:hAnsi="Garamond"/>
          <w:i/>
          <w:iCs/>
          <w:color w:val="4A6FA5"/>
          <w:sz w:val="22"/>
          <w:szCs w:val="22"/>
        </w:rPr>
        <w:t xml:space="preserve">Doctora en Derecho · Profesora Emérita de Derecho Constitucional</w:t>
      </w:r>
    </w:p>
    <w:p>
      <w:pPr>
        <w:spacing w:after="40" w:before="0"/>
        <w:jc w:val="center"/>
      </w:pPr>
      <w:r>
        <w:rPr>
          <w:rFonts w:ascii="Garamond" w:cs="Garamond" w:eastAsia="Garamond" w:hAnsi="Garamond"/>
          <w:color w:val="555555"/>
          <w:sz w:val="20"/>
          <w:szCs w:val="20"/>
        </w:rPr>
        <w:t xml:space="preserve">Fulbright Senior Scholar · Fundadora, NeuroRebel · Co-Fundadora, Ma'alob Kuxtal A.C.</w:t>
      </w:r>
    </w:p>
    <w:p>
      <w:pPr>
        <w:spacing w:after="40" w:before="0"/>
        <w:jc w:val="center"/>
      </w:pPr>
      <w:r>
        <w:rPr>
          <w:rFonts w:ascii="Garamond" w:cs="Garamond" w:eastAsia="Garamond" w:hAnsi="Garamond"/>
          <w:color w:val="555555"/>
          <w:sz w:val="20"/>
          <w:szCs w:val="20"/>
        </w:rPr>
        <w:t xml:space="preserve">Playa del Carmen, Quintana Roo, México  ·  neurorebel.org  ·  anamariamerico@gmail.com</w:t>
      </w:r>
    </w:p>
    <w:p>
      <w:pPr>
        <w:pBdr>
          <w:bottom w:val="single" w:color="1B3A5C" w:sz="12" w:space="6"/>
        </w:pBdr>
        <w:spacing w:after="200" w:before="0"/>
        <w:jc w:val="center"/>
      </w:pPr>
      <w:r>
        <w:t xml:space="preserve"/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PERFIL ACADÉMICO Y PROFESIONAL</w:t>
      </w:r>
    </w:p>
    <w:p>
      <w:pPr>
        <w:spacing w:after="80" w:before="8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Profesora Emérita de Derecho Constitucional (Universidad de Arizona, James E. Rogers College of Law, titularidad 2004, retiro 2016) y Fulbright Senior Scholar con una trayectoria que abarca la magistratura federal, veinte años de docencia titulada, investigación internacional y servicio público continental. Desde 2016, ha redirigido esta formación interdisciplinaria hacia la defensa, investigación y educación pública sobre neurodivergencia en América Latina, fundando NeuroRebel —plataforma bilingüe con más de 270,000 seguidores— y la organización sin fines de lucro Ma'alob Kuxtal A.C. en Quintana Roo. Su trabajo actual integra teoría jurídica crítica, estudios de discapacidad y el paradigma de la neurodiversidad, con énfasis en los derechos de personas autistas y neurodivergentes adultas en el Sur Global.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POSICIONES ACADÉMICAS</w:t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Emérita de Derecho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Universidad de Arizona</w:t>
      </w:r>
    </w:p>
    <w:p>
      <w:pPr>
        <w:spacing w:after="0" w:before="40"/>
      </w:pPr>
      <w:r>
        <w:rPr>
          <w:rFonts w:ascii="Garamond" w:cs="Garamond" w:eastAsia="Garamond" w:hAnsi="Garamond"/>
          <w:color w:val="555555"/>
          <w:sz w:val="20"/>
          <w:szCs w:val="20"/>
        </w:rPr>
        <w:t xml:space="preserve">James E. Rogers College of Law  ·  Retiro 2016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Asociada de Derecho (Titular)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Universidad de Arizona · 2001–2016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James E. Rogers College of Law  ·  Titularidad 2004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Cursos: Procedimiento Civil · Tribunales Federales · Litigación de Derechos Civiles · Derecho Comparado · Español para Abogados de Negocios y Transnacionales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Afiliada, Estudios Latinoamericanos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Universidad de Arizona · 2001–2016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Visitante de Derecho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Universidad Carlos III de Madrid · Otoño 2004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Programa de Doctorado General; Instituto Bartolomé de las Casas, Programa de Derechos Humanos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Cursos: Litigación de Interés Público y Acciones Colectivas; Introducción a los Derechos Fundamentales en EE.UU.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Visitante de Derecho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Universidad Torcuato Di Tella, Buenos Aires · Mayo 2002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Curso: Introducción al Derecho Norteamericano desde una Perspectiva Comparada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Visitante de Derecho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University of Michigan Law School · Otoño 2001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Cursos: Procedimiento Civil y Federalismo Judicial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Profesora Asistente de Derecho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Universidad de Arizona · 1998–2001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Cursos: Procedimiento Civil · Tribunales Federales · Evidencia · Escritura Jurídica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AFILIACIONES ACTUALES Y LIDERAZGO</w:t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Fundadora y Conductora, NeuroRebel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2025–Presente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Plataforma bilingüe de educación sobre neurodiversidad (inglés/español). Podcast, TikTok, Instagram, Substack. Más de 270,000 seguidores combinados.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Enfoque: Análisis crítico de la ciencia del autismo, paradigma de la neurodiversidad, derechos de adultos neurodivergentes en América Latina.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Co-Fundadora y Miembro del Comité Ejecutivo, Ma'alob Kuxtal A.C.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2023–Presente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Organización sin fines de lucro para la inclusión de personas neurodivergentes, Quintana Roo, México.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Programas: educación comunitaria, acompañamiento, incidencia municipal y legislativa.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FORMACIÓN ACADÉMICA</w:t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Juris Doctorate (J.D.), cum laude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University of Michigan Law School · Mayo 1995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Editor Colaborador, Michigan Journal of International Law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Instructor, Minority Affairs Program  ·  Junta Ejecutiva, Asociación de Estudiantes Latinos de Derecho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Premio Juan Luis Tienda  ·  Premio al Mejor Abogado (Moot Court)</w:t>
      </w:r>
    </w:p>
    <w:p>
      <w:pPr>
        <w:spacing w:after="0" w:before="60"/>
      </w:pPr>
      <w:r>
        <w:t xml:space="preserve"/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Licenciatura en Ciencias Políticas, summa cum laude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University of Cincinnati · Junio 1992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Becaria Distinguida de Honores  ·  1.ª en su clase (543 estudiantes)  ·  Grado obtenido en 2½ años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Phi Beta Kappa  ·  Presidenta, Phi Alpha Delta  ·  Pi Sigma Alpha  ·  Omicron Delta Kappa  ·  Mortar Board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Premio Eleanor Hicks: "De la Facultad a la Mujer Graduada más Destacada"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Oradora de Graduación  ·  Premio Melba Wuenschel  ·  Beca Taft y Premio de Enriquecimiento Taft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PASANTÍA JUDICIAL FEDERAL</w:t>
      </w:r>
    </w:p>
    <w:p>
      <w:pPr>
        <w:tabs>
          <w:tab w:val="right" w:pos="9360"/>
        </w:tabs>
        <w:spacing w:after="0" w:before="60"/>
      </w:pPr>
      <w:r>
        <w:rPr>
          <w:rFonts w:ascii="Garamond" w:cs="Garamond" w:eastAsia="Garamond" w:hAnsi="Garamond"/>
          <w:b/>
          <w:bCs/>
          <w:color w:val="1B3A5C"/>
          <w:sz w:val="20"/>
          <w:szCs w:val="20"/>
        </w:rPr>
        <w:t xml:space="preserve">Secretaria de Magistrado, Honorable James L. Ryan</w:t>
      </w:r>
      <w:r>
        <w:rPr>
          <w:rFonts w:ascii="Garamond" w:cs="Garamond" w:eastAsia="Garamond" w:hAnsi="Garamond"/>
          <w:color w:val="555555"/>
          <w:sz w:val="20"/>
          <w:szCs w:val="20"/>
        </w:rPr>
        <w:t xml:space="preserve">	1995–1996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Juez del Circuito, Tribunal de Apelaciones de los Estados Unidos, Sexto Circuito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PREMIOS, RECONOCIMIENTOS Y DISTINCIONES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Fulbright Senior Scholar Grantee, España — 2004/2005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All-University Outstanding Faculty Leader Award, Universidad de Arizona — 2004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Premio J.T. Canales, Egresada Distinguida, Asociación de Estudiantes Latinos de Derecho, University of Michigan Law School — 2003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L. Hart Wright Teaching Excellence Award, Maestra del Año, University of Michigan Law School — 2002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John W. Strong Teaching Excellence Award, Maestra del Año, James E. Rogers College of Law, Universidad de Arizona — 2002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Candidata, Premio a Mentora Académica Destacada, Graduate &amp; Professional Student Council, Universidad de Arizona — 2001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Maestra del Año, James E. Rogers College of Law, Universidad de Arizona — 2001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Premio Juan Luis Tienda, Asociación de Estudiantes Latinos de Derecho, University of Michigan — 1995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Premio al Mejor Abogado, Escritura Jurídica y Moot Court, University of Michigan — 1995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Premio Eleanor Hicks: Mujer Graduada más Destacada, University of Cincinnati — 1992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Phi Beta Kappa  ·  Premio Melba Wuenschel  ·  Beca Taft  ·  Premio de Enriquecimiento Taft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PRODUCCIÓN ACADÉMICA Y PUBLICACIONES</w:t>
      </w:r>
    </w:p>
    <w:p>
      <w:pPr>
        <w:spacing w:after="0" w:before="40"/>
      </w:pPr>
      <w:r>
        <w:rPr>
          <w:rFonts w:ascii="Garamond" w:cs="Garamond" w:eastAsia="Garamond" w:hAnsi="Garamond"/>
          <w:color w:val="1B3A5C"/>
          <w:sz w:val="20"/>
          <w:szCs w:val="20"/>
        </w:rPr>
        <w:t xml:space="preserve">TRABAJO ACTUAL (2024–2026)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"La arquitectura de lo que la ciencia no escucha: Hacia una epistemología post-patológica de la neurodiversidad." Ciencias y Saberes, Núm. 164 (Marzo 2026).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"Las Declaraciones de Uta Frith y el Sesgo de Género en la Ciencia del Autismo" (con Dra. Miriam Tecamachaltzi). La Jornada del Oriente, 16 de marzo de 2026.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"La industria de la desesperación: vacíos sistémicos, pseudociencia y autismo en América Latina." Ciencias y Saberes, Núm. 165 (Agosto 2026, en prensa).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"Arquitectura de exclusión y derecho al cuidado: La OC-31/25 y la población neurodivergente adulta en América Latina." Documento de trabajo, en progreso.</w:t>
      </w:r>
    </w:p>
    <w:p>
      <w:pPr>
        <w:spacing w:after="0" w:before="80"/>
      </w:pPr>
      <w:r>
        <w:t xml:space="preserve"/>
      </w:r>
    </w:p>
    <w:p>
      <w:pPr>
        <w:spacing w:after="0" w:before="40"/>
      </w:pPr>
      <w:r>
        <w:rPr>
          <w:rFonts w:ascii="Garamond" w:cs="Garamond" w:eastAsia="Garamond" w:hAnsi="Garamond"/>
          <w:color w:val="1B3A5C"/>
          <w:sz w:val="20"/>
          <w:szCs w:val="20"/>
        </w:rPr>
        <w:t xml:space="preserve">OBRAS ANTERIORES</w:t>
      </w:r>
    </w:p>
    <w:p>
      <w:pPr>
        <w:spacing w:after="0" w:before="40"/>
      </w:pPr>
      <w:r>
        <w:rPr>
          <w:rFonts w:ascii="Garamond" w:cs="Garamond" w:eastAsia="Garamond" w:hAnsi="Garamond"/>
          <w:color w:val="555555"/>
          <w:sz w:val="20"/>
          <w:szCs w:val="20"/>
        </w:rPr>
        <w:t xml:space="preserve">Los trabajos publicados durante el período académico en los Estados Unidos se citan en su idioma original de publicación.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Book Review, Introducción al Derecho Constitucional Comparado, Robert Scarciglia. Am. J. Comp. Law (2014).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Socrates' Brain: The NeuroCognitive Sciences in Legal Education (2013).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La Enseñanza del Derecho en Estados Unidos. Cuadernos del Instituto Antonio de Nebrija, Universidad Carlos III de Madrid (Dykinson, 2005).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La Organización Administrativa: La Participación Ciudadana en la Gestión Administrativa y el Control. Revista Jurídica de la Universidad de Buenos Aires, Facultad de Derecho (Enero 2005).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Latinos in the Law Profession; Latino Politics; Latino Voters; United States Congress; the Homestead Act. En: Encyclopedia Latina (Grolier, Abril 2005).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Of Federalism, Human Rights, and The Holland Caveat: Congressional Power to Implement Treaty Obligations. 25 Mich. J. Int'l L. 295 (Marzo 2004).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One Proposed Tool for Learning, Playing, and Reducing Anxiety in Civil Procedure. 47 St. Louis U. L. Rev. 59 (2003). Contribución invitada, Simposio sobre Enseñanza del Procedimiento Civil.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This Chicken Speaks for Itself: Reviewing American Law of Trade and Investment. 19 Ariz. J. Int'l &amp; Comp. L. 931 (2003).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United States v. Morrison &amp; The Emperor's New Clothes. 27 Journal of College and University Law 735 (2002).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Of Maine's Sovereignty, Alden's Federalism, and the Myth of Absolute Principles. 33 U.C. Davis Law Review 325 (2000).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Un Esbozo de la Constitución Americana y La Revisión Judicial Comparada. Sometido para publicación, 2014.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Argumentaciones Políticas Acerca de los Tribunales Norteamericanos: Una Introducción Comparada. Sometido para publicación, 2014.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PONENCIAS, CONFERENCIAS MAGISTRALES Y CONFERENCIAS INVITADAS</w:t>
      </w:r>
    </w:p>
    <w:p>
      <w:pPr>
        <w:spacing w:after="0" w:before="40"/>
      </w:pPr>
      <w:r>
        <w:rPr>
          <w:rFonts w:ascii="Garamond" w:cs="Garamond" w:eastAsia="Garamond" w:hAnsi="Garamond"/>
          <w:color w:val="1B3A5C"/>
          <w:sz w:val="20"/>
          <w:szCs w:val="20"/>
        </w:rPr>
        <w:t xml:space="preserve">2024–2026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Rompiendo Moldes: Neurodivergencia y Pensamiento Crítico en la Vida Real. Fundación El Baúl de Pinocho, Ecuador — 2026.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Hacia una Ciencia Post-Patológica. VII Semana de la Mujer y la Niña en la Ciencia, Universidad Autónoma de Tlaxcala — 2026.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Lo que Nadie Midió: Una Filosofía de la Vida Autista. Conferencia Magistral, Congreso de Autismo, Saltillo, Coahuila — 2026.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Ponencia, Foro de Legislación en Neurodiversidad. Cámara de Diputados, México — Junio 2026.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El Paradigma de la Neurodiversidad: Una Visión Humana del Autismo. Conversatorio sobre la Concientización del Autismo, Ma'alob Kuxtal, Playa del Carmen — 2025.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Una Estrategia Empresarial Inteligente: La Neurodivergencia en el Campo Laboral. Capacitación Corporativa, Municipio de Solidaridad — 2024.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Qué es el Autismo: Mitos, Lenguaje e Inclusión. Primera Feria Neuroinclusiva de la Riviera Maya, Ma'alob Kuxtal, Playa del Carmen — 2024.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La Importancia de la Inclusión Laboral de las Personas Autistas. Municipio de Solidaridad, Playa del Carmen — 2024.</w:t>
      </w:r>
    </w:p>
    <w:p>
      <w:pPr>
        <w:spacing w:after="0" w:before="80"/>
      </w:pPr>
      <w:r>
        <w:t xml:space="preserve"/>
      </w:r>
    </w:p>
    <w:p>
      <w:pPr>
        <w:spacing w:after="0" w:before="40"/>
      </w:pPr>
      <w:r>
        <w:rPr>
          <w:rFonts w:ascii="Garamond" w:cs="Garamond" w:eastAsia="Garamond" w:hAnsi="Garamond"/>
          <w:color w:val="1B3A5C"/>
          <w:sz w:val="20"/>
          <w:szCs w:val="20"/>
        </w:rPr>
        <w:t xml:space="preserve">INTERNACIONALES (ANTERIORES)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 y Organizadora, Modelo de las Naciones Unidas. Gobierno de la Provincia de Corrientes, Argentina — Agosto–Septiembre 2011.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Panelista, Comentarista y Moderadora. Reunión Internacional de la International Studies Association y el Centro Cultural Brasileño: La Influencia de la Migración Global en las Identidades Nacionales. Río de Janeiro, Brasil — Agosto 2009.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Conferencista Fulbright Invitada. Universidad Carlos III de Madrid, Departamento de Derecho e Instituto de Derechos Humanos Bartolomé de las Casas. Madrid, España — Septiembre–Diciembre 2004.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Presentadora Invitada. Seminario Internacional de Derecho Administrativo: Aportes para el Rediseño Institucional de la República Argentina. Universidad de Buenos Aires, Facultad de Derecho — Marzo 2004.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Conferencista y Presentadora. Instituto Tecnológico Autónomo de México, Ciudad de México — Marzo 2002.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Facultad, Conferencista y Presentadora Invitada. Universidad Torcuato Di Tella, Buenos Aires — Mayo 2001, Mayo 2002.</w:t>
      </w:r>
    </w:p>
    <w:p>
      <w:pPr>
        <w:spacing w:after="0" w:before="80"/>
      </w:pPr>
      <w:r>
        <w:t xml:space="preserve"/>
      </w:r>
    </w:p>
    <w:p>
      <w:pPr>
        <w:spacing w:after="0" w:before="40"/>
      </w:pPr>
      <w:r>
        <w:rPr>
          <w:rFonts w:ascii="Garamond" w:cs="Garamond" w:eastAsia="Garamond" w:hAnsi="Garamond"/>
          <w:color w:val="1B3A5C"/>
          <w:sz w:val="20"/>
          <w:szCs w:val="20"/>
        </w:rPr>
        <w:t xml:space="preserve">NACIONALES E INSTITUCIONALES (ANTERIORES)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Magistral: The Perils of Ignorance: NeuroCognitive Overview of the Learner's Brain. Oregon Hispanic Bar Association Annual Meeting — Febrero 2012.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Entrevista televisiva: Federalism Problems with HB 1070. Arizona Weekly con Michael Chihak — 2012.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 con el Rev. Jesse Jackson: Breaking Barriers: Racism and the Ethnic Tax. University of Oregon, Presidential Leadership Summit, Holden Institute — Febrero 2010.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Entrevista televisiva: What Unleashed the Anger that Fueled HB 1070? Telemundo — Marzo 2011.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Panelista Invitada: How the Rest Sees the West: The Challenge of Legal Education and the Hegemony of Imperial Law. American Society of Comparative Law, U.C. Hastings College of Law — Octubre 2008.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Magistral, State Bar of Oregon Annual Meeting: Addressing Diversity in an Evolving Legal and Global Environment. Portland, Oregon — Septiembre 2008.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Magistral: Accidentally on Purpose: Some Thoughts on the Power of YOU. Holden Leadership Institute, University of Oregon — Abril 2008.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Magistral, District of Oregon Federal District Conference: The Perestroika of Affirmative Action in Law School Admissions — Noviembre 2007.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Magistral: Of Globalization, Law, and a Liberal Education. Phi Beta Kappa — 2005.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Panelista Invitada: Teaching Techniques: The 1L Classroom. Association of American Law Schools, Workshop for New Law Teachers — Junio 2004.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Presentadora CLE Invitada: Grutter v. Bollinger, Affirmative Action, Justice and Latinos. Hispanic National Bar Association Annual Convention, Nueva York — Octubre 2004.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Conferenciante Magistral: A Conversation with Justice Sandra Day O'Connor. Ninth Circuit Judicial Conference, Monterey, California — Julio 2004.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Comentarista Invitada, LatCrit IX: Countering Kulturkampf Politics Through Critique and Justice Pedagogy. Filadelfia — Abril 2004.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Conferencia sobre Derecho Comparado y Latinoamericano. Whitney R. Harris Institute for Global Studies, Washington University School of Law — Mayo 2003, Mayo 2005, Abril 2007.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Presentadora CLE: Civil Rights Litigation and Section 1983. Pima County Superior Court — Enero 2007.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Panelista: Five Myths on Immigration. Federal District Court Conference, Phoenix — 2006.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SERVICIO UNIVERSITARIO Y PROFESIONAL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Vicepresidenta, Comité de Libertad Académica y Titularidad, Universidad de Arizona — 2010–2011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Secretaria, Asociación de Profesoras Mujeres, Universidad de Arizona — 2010–2011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Presidenta, Phi Beta Kappa, Capítulo de Arizona — 2009–2010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Representante de Abogados, Conferencia Judicial del Noveno Circuito de los Estados Unidos — 2005–2007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Presidenta Regional, Hispanic National Bar Association — 2005–2006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Presidenta, Panel de Selección por Mérito, Comité de Retención de Magistrados del Tribunal Federal — 2005–2006, 2013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Co-Presidenta, Representantes de Abogados del Noveno Circuito, Distrito de Arizona — 2003–2004</w:t>
      </w:r>
    </w:p>
    <w:p>
      <w:pPr>
        <w:pStyle w:val="ListParagraph"/>
        <w:numPr>
          <w:ilvl w:val="0"/>
          <w:numId w:val="2"/>
        </w:numPr>
        <w:spacing w:after="0" w:before="40"/>
      </w:pPr>
      <w:r>
        <w:rPr>
          <w:rFonts w:ascii="Garamond" w:cs="Garamond" w:eastAsia="Garamond" w:hAnsi="Garamond"/>
          <w:sz w:val="20"/>
          <w:szCs w:val="20"/>
        </w:rPr>
        <w:t xml:space="preserve">Miembro, Comité de Redacción de Reglas Locales, Reglas Federales de Procedimiento Civil, Distrito de Arizona — 2001–2003</w:t>
      </w:r>
    </w:p>
    <w:p>
      <w:pPr>
        <w:pBdr>
          <w:bottom w:val="single" w:color="1B3A5C" w:sz="8" w:space="4"/>
        </w:pBdr>
        <w:spacing w:after="80" w:before="320"/>
      </w:pPr>
      <w:r>
        <w:rPr>
          <w:rFonts w:ascii="Garamond" w:cs="Garamond" w:eastAsia="Garamond" w:hAnsi="Garamond"/>
          <w:b/>
          <w:bCs/>
          <w:color w:val="1B3A5C"/>
          <w:spacing w:val="80"/>
          <w:sz w:val="22"/>
          <w:szCs w:val="22"/>
        </w:rPr>
        <w:t xml:space="preserve">IDIOMAS</w:t>
      </w:r>
    </w:p>
    <w:p>
      <w:pPr>
        <w:spacing w:after="0" w:before="40"/>
      </w:pPr>
      <w:r>
        <w:rPr>
          <w:rFonts w:ascii="Garamond" w:cs="Garamond" w:eastAsia="Garamond" w:hAnsi="Garamond"/>
          <w:color w:val="000000"/>
          <w:sz w:val="20"/>
          <w:szCs w:val="20"/>
        </w:rPr>
        <w:t xml:space="preserve">Inglés (nativo) · Español (nativo, América Latina) · Portugués (fluido) · Francés (competencia profesional)</w:t>
      </w:r>
    </w:p>
    <w:p>
      <w:pPr>
        <w:spacing w:after="0" w:before="120"/>
      </w:pPr>
      <w:r>
        <w:t xml:space="preserve"/>
      </w:r>
    </w:p>
    <w:p>
      <w:pPr>
        <w:pBdr>
          <w:top w:val="single" w:color="1B3A5C" w:sz="4" w:space="4"/>
        </w:pBdr>
        <w:spacing w:before="80"/>
        <w:jc w:val="center"/>
      </w:pPr>
      <w:r>
        <w:rPr>
          <w:rFonts w:ascii="Garamond" w:cs="Garamond" w:eastAsia="Garamond" w:hAnsi="Garamond"/>
          <w:i/>
          <w:iCs/>
          <w:color w:val="4A6FA5"/>
          <w:sz w:val="18"/>
          <w:szCs w:val="18"/>
        </w:rPr>
        <w:t xml:space="preserve">neurorebel.org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2026-05-16T16:59:22.892Z</dcterms:created>
  <dcterms:modified xsi:type="dcterms:W3CDTF">2026-05-16T16:59:22.892Z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