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Garamond" w:cs="Garamond" w:eastAsia="Garamond" w:hAnsi="Garamond"/>
          <w:b/>
          <w:bCs/>
          <w:color w:val="1B3A5C"/>
          <w:sz w:val="48"/>
          <w:szCs w:val="48"/>
        </w:rPr>
        <w:t xml:space="preserve">ANA MARÍA MERICO-STEPHENS</w:t>
      </w:r>
    </w:p>
    <w:p>
      <w:pPr>
        <w:spacing w:after="40" w:before="0"/>
        <w:jc w:val="center"/>
      </w:pPr>
      <w:r>
        <w:rPr>
          <w:rFonts w:ascii="Garamond" w:cs="Garamond" w:eastAsia="Garamond" w:hAnsi="Garamond"/>
          <w:i/>
          <w:iCs/>
          <w:color w:val="4A6FA5"/>
          <w:sz w:val="22"/>
          <w:szCs w:val="22"/>
        </w:rPr>
        <w:t xml:space="preserve">Ph.D. in Law · Professor Emerita of Constitutional Law</w:t>
      </w:r>
    </w:p>
    <w:p>
      <w:pPr>
        <w:spacing w:after="40" w:before="0"/>
        <w:jc w:val="center"/>
      </w:pPr>
      <w:r>
        <w:rPr>
          <w:rFonts w:ascii="Garamond" w:cs="Garamond" w:eastAsia="Garamond" w:hAnsi="Garamond"/>
          <w:color w:val="555555"/>
          <w:sz w:val="20"/>
          <w:szCs w:val="20"/>
        </w:rPr>
        <w:t xml:space="preserve">Fulbright Senior Scholar · Founder, NeuroRebel · Co-Founder, Ma'alob Kuxtal A.C.</w:t>
      </w:r>
    </w:p>
    <w:p>
      <w:pPr>
        <w:spacing w:after="40" w:before="0"/>
        <w:jc w:val="center"/>
      </w:pPr>
      <w:r>
        <w:rPr>
          <w:rFonts w:ascii="Garamond" w:cs="Garamond" w:eastAsia="Garamond" w:hAnsi="Garamond"/>
          <w:color w:val="555555"/>
          <w:sz w:val="20"/>
          <w:szCs w:val="20"/>
        </w:rPr>
        <w:t xml:space="preserve">Playa del Carmen, Quintana Roo, México  ·  neurorebel.org  ·  anamariamerico@gmail.com</w:t>
      </w:r>
    </w:p>
    <w:p>
      <w:pPr>
        <w:pBdr>
          <w:bottom w:val="single" w:color="1B3A5C" w:sz="12" w:space="6"/>
        </w:pBdr>
        <w:spacing w:after="200" w:before="0"/>
        <w:jc w:val="center"/>
      </w:pPr>
      <w:r>
        <w:t xml:space="preserve"/>
      </w:r>
    </w:p>
    <w:p>
      <w:pPr>
        <w:pBdr>
          <w:bottom w:val="single" w:color="1B3A5C" w:sz="8" w:space="4"/>
        </w:pBdr>
        <w:spacing w:after="80" w:before="320"/>
      </w:pPr>
      <w:r>
        <w:rPr>
          <w:rFonts w:ascii="Garamond" w:cs="Garamond" w:eastAsia="Garamond" w:hAnsi="Garamond"/>
          <w:b/>
          <w:bCs/>
          <w:color w:val="1B3A5C"/>
          <w:spacing w:val="80"/>
          <w:sz w:val="22"/>
          <w:szCs w:val="22"/>
        </w:rPr>
        <w:t xml:space="preserve">PROFILE</w:t>
      </w:r>
    </w:p>
    <w:p>
      <w:pPr>
        <w:spacing w:after="80" w:before="80"/>
      </w:pPr>
      <w:r>
        <w:rPr>
          <w:rFonts w:ascii="Garamond" w:cs="Garamond" w:eastAsia="Garamond" w:hAnsi="Garamond"/>
          <w:color w:val="000000"/>
          <w:sz w:val="20"/>
          <w:szCs w:val="20"/>
        </w:rPr>
        <w:t xml:space="preserve">Constitutional Law Professor Emerita (University of Arizona, James E. Rogers College of Law, tenured 2004, retired 2016) and Fulbright Senior Scholar with a career spanning federal judicial clerkship, twenty years of tenured law teaching, international scholarship, and continental public service. Since 2016, she has redirected this interdisciplinary formation toward neurodivergence advocacy, research, and public education in Latin America, founding NeuroRebel — a bilingual platform with 270K+ followers — and the nonprofit Ma'alob Kuxtal A.C. in Quintana Roo. Her current work integrates critical legal theory, disability studies, and the neurodiversity paradigm, with particular focus on the rights of autistic and neurodivergent adults in the Global South.</w:t>
      </w:r>
    </w:p>
    <w:p>
      <w:pPr>
        <w:pBdr>
          <w:bottom w:val="single" w:color="1B3A5C" w:sz="8" w:space="4"/>
        </w:pBdr>
        <w:spacing w:after="80" w:before="320"/>
      </w:pPr>
      <w:r>
        <w:rPr>
          <w:rFonts w:ascii="Garamond" w:cs="Garamond" w:eastAsia="Garamond" w:hAnsi="Garamond"/>
          <w:b/>
          <w:bCs/>
          <w:color w:val="1B3A5C"/>
          <w:spacing w:val="80"/>
          <w:sz w:val="22"/>
          <w:szCs w:val="22"/>
        </w:rPr>
        <w:t xml:space="preserve">ACADEMIC POSITIONS</w:t>
      </w:r>
    </w:p>
    <w:p>
      <w:pPr>
        <w:tabs>
          <w:tab w:val="right" w:pos="9360"/>
        </w:tabs>
        <w:spacing w:after="0" w:before="60"/>
      </w:pPr>
      <w:r>
        <w:rPr>
          <w:rFonts w:ascii="Garamond" w:cs="Garamond" w:eastAsia="Garamond" w:hAnsi="Garamond"/>
          <w:b/>
          <w:bCs/>
          <w:color w:val="1B3A5C"/>
          <w:sz w:val="20"/>
          <w:szCs w:val="20"/>
        </w:rPr>
        <w:t xml:space="preserve">Professor Emerita of Law</w:t>
      </w:r>
      <w:r>
        <w:rPr>
          <w:rFonts w:ascii="Garamond" w:cs="Garamond" w:eastAsia="Garamond" w:hAnsi="Garamond"/>
          <w:color w:val="555555"/>
          <w:sz w:val="20"/>
          <w:szCs w:val="20"/>
        </w:rPr>
        <w:t xml:space="preserve">	University of Arizona</w:t>
      </w:r>
    </w:p>
    <w:p>
      <w:pPr>
        <w:spacing w:after="0" w:before="40"/>
      </w:pPr>
      <w:r>
        <w:rPr>
          <w:rFonts w:ascii="Garamond" w:cs="Garamond" w:eastAsia="Garamond" w:hAnsi="Garamond"/>
          <w:color w:val="555555"/>
          <w:sz w:val="20"/>
          <w:szCs w:val="20"/>
        </w:rPr>
        <w:t xml:space="preserve">James E. Rogers College of Law  ·  Retired 2016</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Associate Professor of Law (Tenured)</w:t>
      </w:r>
      <w:r>
        <w:rPr>
          <w:rFonts w:ascii="Garamond" w:cs="Garamond" w:eastAsia="Garamond" w:hAnsi="Garamond"/>
          <w:color w:val="555555"/>
          <w:sz w:val="20"/>
          <w:szCs w:val="20"/>
        </w:rPr>
        <w:t xml:space="preserve">	University of Arizona · 2001–2016</w:t>
      </w:r>
    </w:p>
    <w:p>
      <w:pPr>
        <w:spacing w:after="0" w:before="40"/>
      </w:pPr>
      <w:r>
        <w:rPr>
          <w:rFonts w:ascii="Garamond" w:cs="Garamond" w:eastAsia="Garamond" w:hAnsi="Garamond"/>
          <w:color w:val="000000"/>
          <w:sz w:val="20"/>
          <w:szCs w:val="20"/>
        </w:rPr>
        <w:t xml:space="preserve">James E. Rogers College of Law  ·  Tenured 2004</w:t>
      </w:r>
    </w:p>
    <w:p>
      <w:pPr>
        <w:spacing w:after="0" w:before="40"/>
      </w:pPr>
      <w:r>
        <w:rPr>
          <w:rFonts w:ascii="Garamond" w:cs="Garamond" w:eastAsia="Garamond" w:hAnsi="Garamond"/>
          <w:color w:val="000000"/>
          <w:sz w:val="20"/>
          <w:szCs w:val="20"/>
        </w:rPr>
        <w:t xml:space="preserve">Courses: Civil Procedure · Federal Courts · Civil Rights Litigation · Comparative Law · Spanish for Business and Transnational Lawyers</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Affiliated Professor, Latin American Studies</w:t>
      </w:r>
      <w:r>
        <w:rPr>
          <w:rFonts w:ascii="Garamond" w:cs="Garamond" w:eastAsia="Garamond" w:hAnsi="Garamond"/>
          <w:color w:val="555555"/>
          <w:sz w:val="20"/>
          <w:szCs w:val="20"/>
        </w:rPr>
        <w:t xml:space="preserve">	University of Arizona · 2001–2016</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Visiting Professor of Law</w:t>
      </w:r>
      <w:r>
        <w:rPr>
          <w:rFonts w:ascii="Garamond" w:cs="Garamond" w:eastAsia="Garamond" w:hAnsi="Garamond"/>
          <w:color w:val="555555"/>
          <w:sz w:val="20"/>
          <w:szCs w:val="20"/>
        </w:rPr>
        <w:t xml:space="preserve">	Universidad Carlos III de Madrid · Fall 2004</w:t>
      </w:r>
    </w:p>
    <w:p>
      <w:pPr>
        <w:spacing w:after="0" w:before="40"/>
      </w:pPr>
      <w:r>
        <w:rPr>
          <w:rFonts w:ascii="Garamond" w:cs="Garamond" w:eastAsia="Garamond" w:hAnsi="Garamond"/>
          <w:color w:val="000000"/>
          <w:sz w:val="20"/>
          <w:szCs w:val="20"/>
        </w:rPr>
        <w:t xml:space="preserve">Programa de Doctorado General; Instituto Bartolomé de las Casas, Human Rights Program</w:t>
      </w:r>
    </w:p>
    <w:p>
      <w:pPr>
        <w:spacing w:after="0" w:before="40"/>
      </w:pPr>
      <w:r>
        <w:rPr>
          <w:rFonts w:ascii="Garamond" w:cs="Garamond" w:eastAsia="Garamond" w:hAnsi="Garamond"/>
          <w:color w:val="000000"/>
          <w:sz w:val="20"/>
          <w:szCs w:val="20"/>
        </w:rPr>
        <w:t xml:space="preserve">Courses: Public Interest Litigation and Collective Actions; Introduction to Fundamental Rights in the U.S.</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Visiting Professor of Law</w:t>
      </w:r>
      <w:r>
        <w:rPr>
          <w:rFonts w:ascii="Garamond" w:cs="Garamond" w:eastAsia="Garamond" w:hAnsi="Garamond"/>
          <w:color w:val="555555"/>
          <w:sz w:val="20"/>
          <w:szCs w:val="20"/>
        </w:rPr>
        <w:t xml:space="preserve">	Universidad Torcuato Di Tella, Buenos Aires · May 2002</w:t>
      </w:r>
    </w:p>
    <w:p>
      <w:pPr>
        <w:spacing w:after="0" w:before="40"/>
      </w:pPr>
      <w:r>
        <w:rPr>
          <w:rFonts w:ascii="Garamond" w:cs="Garamond" w:eastAsia="Garamond" w:hAnsi="Garamond"/>
          <w:color w:val="000000"/>
          <w:sz w:val="20"/>
          <w:szCs w:val="20"/>
        </w:rPr>
        <w:t xml:space="preserve">Course: Introduction to American Law from a Comparative Perspective</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Visiting Professor of Law</w:t>
      </w:r>
      <w:r>
        <w:rPr>
          <w:rFonts w:ascii="Garamond" w:cs="Garamond" w:eastAsia="Garamond" w:hAnsi="Garamond"/>
          <w:color w:val="555555"/>
          <w:sz w:val="20"/>
          <w:szCs w:val="20"/>
        </w:rPr>
        <w:t xml:space="preserve">	University of Michigan Law School · Fall 2001</w:t>
      </w:r>
    </w:p>
    <w:p>
      <w:pPr>
        <w:spacing w:after="0" w:before="40"/>
      </w:pPr>
      <w:r>
        <w:rPr>
          <w:rFonts w:ascii="Garamond" w:cs="Garamond" w:eastAsia="Garamond" w:hAnsi="Garamond"/>
          <w:color w:val="000000"/>
          <w:sz w:val="20"/>
          <w:szCs w:val="20"/>
        </w:rPr>
        <w:t xml:space="preserve">Courses: Civil Procedure and Judicial Federalism</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Assistant Professor of Law</w:t>
      </w:r>
      <w:r>
        <w:rPr>
          <w:rFonts w:ascii="Garamond" w:cs="Garamond" w:eastAsia="Garamond" w:hAnsi="Garamond"/>
          <w:color w:val="555555"/>
          <w:sz w:val="20"/>
          <w:szCs w:val="20"/>
        </w:rPr>
        <w:t xml:space="preserve">	University of Arizona · 1998–2001</w:t>
      </w:r>
    </w:p>
    <w:p>
      <w:pPr>
        <w:spacing w:after="0" w:before="40"/>
      </w:pPr>
      <w:r>
        <w:rPr>
          <w:rFonts w:ascii="Garamond" w:cs="Garamond" w:eastAsia="Garamond" w:hAnsi="Garamond"/>
          <w:color w:val="000000"/>
          <w:sz w:val="20"/>
          <w:szCs w:val="20"/>
        </w:rPr>
        <w:t xml:space="preserve">Courses: Civil Procedure · Federal Courts · Evidence · Legal Writing</w:t>
      </w:r>
    </w:p>
    <w:p>
      <w:pPr>
        <w:pBdr>
          <w:bottom w:val="single" w:color="1B3A5C" w:sz="8" w:space="4"/>
        </w:pBdr>
        <w:spacing w:after="80" w:before="320"/>
      </w:pPr>
      <w:r>
        <w:rPr>
          <w:rFonts w:ascii="Garamond" w:cs="Garamond" w:eastAsia="Garamond" w:hAnsi="Garamond"/>
          <w:b/>
          <w:bCs/>
          <w:color w:val="1B3A5C"/>
          <w:spacing w:val="80"/>
          <w:sz w:val="22"/>
          <w:szCs w:val="22"/>
        </w:rPr>
        <w:t xml:space="preserve">CURRENT AFFILIATIONS &amp; LEADERSHIP</w:t>
      </w:r>
    </w:p>
    <w:p>
      <w:pPr>
        <w:tabs>
          <w:tab w:val="right" w:pos="9360"/>
        </w:tabs>
        <w:spacing w:after="0" w:before="60"/>
      </w:pPr>
      <w:r>
        <w:rPr>
          <w:rFonts w:ascii="Garamond" w:cs="Garamond" w:eastAsia="Garamond" w:hAnsi="Garamond"/>
          <w:b/>
          <w:bCs/>
          <w:color w:val="1B3A5C"/>
          <w:sz w:val="20"/>
          <w:szCs w:val="20"/>
        </w:rPr>
        <w:t xml:space="preserve">Founder &amp; Host, NeuroRebel</w:t>
      </w:r>
      <w:r>
        <w:rPr>
          <w:rFonts w:ascii="Garamond" w:cs="Garamond" w:eastAsia="Garamond" w:hAnsi="Garamond"/>
          <w:color w:val="555555"/>
          <w:sz w:val="20"/>
          <w:szCs w:val="20"/>
        </w:rPr>
        <w:t xml:space="preserve">	2025–Present</w:t>
      </w:r>
    </w:p>
    <w:p>
      <w:pPr>
        <w:spacing w:after="0" w:before="40"/>
      </w:pPr>
      <w:r>
        <w:rPr>
          <w:rFonts w:ascii="Garamond" w:cs="Garamond" w:eastAsia="Garamond" w:hAnsi="Garamond"/>
          <w:color w:val="000000"/>
          <w:sz w:val="20"/>
          <w:szCs w:val="20"/>
        </w:rPr>
        <w:t xml:space="preserve">Bilingual neurodiversity education platform (English/Spanish). Podcast, TikTok, Instagram, Substack. 270K+ combined following.</w:t>
      </w:r>
    </w:p>
    <w:p>
      <w:pPr>
        <w:spacing w:after="0" w:before="40"/>
      </w:pPr>
      <w:r>
        <w:rPr>
          <w:rFonts w:ascii="Garamond" w:cs="Garamond" w:eastAsia="Garamond" w:hAnsi="Garamond"/>
          <w:color w:val="000000"/>
          <w:sz w:val="20"/>
          <w:szCs w:val="20"/>
        </w:rPr>
        <w:t xml:space="preserve">Focus: Critical analysis of autism science, neurodiversity paradigm, rights of neurodivergent adults in Latin America.</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Co-Founder &amp; Executive Board Member, Ma'alob Kuxtal A.C.</w:t>
      </w:r>
      <w:r>
        <w:rPr>
          <w:rFonts w:ascii="Garamond" w:cs="Garamond" w:eastAsia="Garamond" w:hAnsi="Garamond"/>
          <w:color w:val="555555"/>
          <w:sz w:val="20"/>
          <w:szCs w:val="20"/>
        </w:rPr>
        <w:t xml:space="preserve">	2023–Present</w:t>
      </w:r>
    </w:p>
    <w:p>
      <w:pPr>
        <w:spacing w:after="0" w:before="40"/>
      </w:pPr>
      <w:r>
        <w:rPr>
          <w:rFonts w:ascii="Garamond" w:cs="Garamond" w:eastAsia="Garamond" w:hAnsi="Garamond"/>
          <w:color w:val="000000"/>
          <w:sz w:val="20"/>
          <w:szCs w:val="20"/>
        </w:rPr>
        <w:t xml:space="preserve">Nonprofit organization for neurodivergent inclusion, Quintana Roo, México.</w:t>
      </w:r>
    </w:p>
    <w:p>
      <w:pPr>
        <w:spacing w:after="0" w:before="40"/>
      </w:pPr>
      <w:r>
        <w:rPr>
          <w:rFonts w:ascii="Garamond" w:cs="Garamond" w:eastAsia="Garamond" w:hAnsi="Garamond"/>
          <w:color w:val="000000"/>
          <w:sz w:val="20"/>
          <w:szCs w:val="20"/>
        </w:rPr>
        <w:t xml:space="preserve">Programs: public education, community support, municipal and legislative advocacy.</w:t>
      </w:r>
    </w:p>
    <w:p>
      <w:pPr>
        <w:pBdr>
          <w:bottom w:val="single" w:color="1B3A5C" w:sz="8" w:space="4"/>
        </w:pBdr>
        <w:spacing w:after="80" w:before="320"/>
      </w:pPr>
      <w:r>
        <w:rPr>
          <w:rFonts w:ascii="Garamond" w:cs="Garamond" w:eastAsia="Garamond" w:hAnsi="Garamond"/>
          <w:b/>
          <w:bCs/>
          <w:color w:val="1B3A5C"/>
          <w:spacing w:val="80"/>
          <w:sz w:val="22"/>
          <w:szCs w:val="22"/>
        </w:rPr>
        <w:t xml:space="preserve">EDUCATION</w:t>
      </w:r>
    </w:p>
    <w:p>
      <w:pPr>
        <w:tabs>
          <w:tab w:val="right" w:pos="9360"/>
        </w:tabs>
        <w:spacing w:after="0" w:before="60"/>
      </w:pPr>
      <w:r>
        <w:rPr>
          <w:rFonts w:ascii="Garamond" w:cs="Garamond" w:eastAsia="Garamond" w:hAnsi="Garamond"/>
          <w:b/>
          <w:bCs/>
          <w:color w:val="1B3A5C"/>
          <w:sz w:val="20"/>
          <w:szCs w:val="20"/>
        </w:rPr>
        <w:t xml:space="preserve">Juris Doctorate, cum laude</w:t>
      </w:r>
      <w:r>
        <w:rPr>
          <w:rFonts w:ascii="Garamond" w:cs="Garamond" w:eastAsia="Garamond" w:hAnsi="Garamond"/>
          <w:color w:val="555555"/>
          <w:sz w:val="20"/>
          <w:szCs w:val="20"/>
        </w:rPr>
        <w:t xml:space="preserve">	University of Michigan Law School · May 1995</w:t>
      </w:r>
    </w:p>
    <w:p>
      <w:pPr>
        <w:spacing w:after="0" w:before="40"/>
      </w:pPr>
      <w:r>
        <w:rPr>
          <w:rFonts w:ascii="Garamond" w:cs="Garamond" w:eastAsia="Garamond" w:hAnsi="Garamond"/>
          <w:color w:val="000000"/>
          <w:sz w:val="20"/>
          <w:szCs w:val="20"/>
        </w:rPr>
        <w:t xml:space="preserve">Contributing Editor, Michigan Journal of International Law</w:t>
      </w:r>
    </w:p>
    <w:p>
      <w:pPr>
        <w:spacing w:after="0" w:before="40"/>
      </w:pPr>
      <w:r>
        <w:rPr>
          <w:rFonts w:ascii="Garamond" w:cs="Garamond" w:eastAsia="Garamond" w:hAnsi="Garamond"/>
          <w:color w:val="000000"/>
          <w:sz w:val="20"/>
          <w:szCs w:val="20"/>
        </w:rPr>
        <w:t xml:space="preserve">Instructor, Minority Affairs Program  ·  Executive Board, Latino Law Students Association</w:t>
      </w:r>
    </w:p>
    <w:p>
      <w:pPr>
        <w:spacing w:after="0" w:before="40"/>
      </w:pPr>
      <w:r>
        <w:rPr>
          <w:rFonts w:ascii="Garamond" w:cs="Garamond" w:eastAsia="Garamond" w:hAnsi="Garamond"/>
          <w:color w:val="000000"/>
          <w:sz w:val="20"/>
          <w:szCs w:val="20"/>
        </w:rPr>
        <w:t xml:space="preserve">Juan Luis Tienda Award Recipient  ·  Best Advocate Award (Oral and Written Advocacy &amp; Moot Court)</w:t>
      </w:r>
    </w:p>
    <w:p>
      <w:pPr>
        <w:spacing w:after="0" w:before="60"/>
      </w:pPr>
      <w:r>
        <w:t xml:space="preserve"/>
      </w:r>
    </w:p>
    <w:p>
      <w:pPr>
        <w:tabs>
          <w:tab w:val="right" w:pos="9360"/>
        </w:tabs>
        <w:spacing w:after="0" w:before="60"/>
      </w:pPr>
      <w:r>
        <w:rPr>
          <w:rFonts w:ascii="Garamond" w:cs="Garamond" w:eastAsia="Garamond" w:hAnsi="Garamond"/>
          <w:b/>
          <w:bCs/>
          <w:color w:val="1B3A5C"/>
          <w:sz w:val="20"/>
          <w:szCs w:val="20"/>
        </w:rPr>
        <w:t xml:space="preserve">B.A. Political Science, summa cum laude</w:t>
      </w:r>
      <w:r>
        <w:rPr>
          <w:rFonts w:ascii="Garamond" w:cs="Garamond" w:eastAsia="Garamond" w:hAnsi="Garamond"/>
          <w:color w:val="555555"/>
          <w:sz w:val="20"/>
          <w:szCs w:val="20"/>
        </w:rPr>
        <w:t xml:space="preserve">	University of Cincinnati · June 1992</w:t>
      </w:r>
    </w:p>
    <w:p>
      <w:pPr>
        <w:spacing w:after="0" w:before="40"/>
      </w:pPr>
      <w:r>
        <w:rPr>
          <w:rFonts w:ascii="Garamond" w:cs="Garamond" w:eastAsia="Garamond" w:hAnsi="Garamond"/>
          <w:color w:val="000000"/>
          <w:sz w:val="20"/>
          <w:szCs w:val="20"/>
        </w:rPr>
        <w:t xml:space="preserve">Distinguished Honors Scholar  ·  Ranked 1st in class of 543  ·  Completed degree in 2½ years</w:t>
      </w:r>
    </w:p>
    <w:p>
      <w:pPr>
        <w:spacing w:after="0" w:before="40"/>
      </w:pPr>
      <w:r>
        <w:rPr>
          <w:rFonts w:ascii="Garamond" w:cs="Garamond" w:eastAsia="Garamond" w:hAnsi="Garamond"/>
          <w:color w:val="000000"/>
          <w:sz w:val="20"/>
          <w:szCs w:val="20"/>
        </w:rPr>
        <w:t xml:space="preserve">Phi Beta Kappa  ·  Phi Alpha Delta President  ·  Pi Sigma Alpha  ·  Omicron Delta Kappa  ·  Mortar Board</w:t>
      </w:r>
    </w:p>
    <w:p>
      <w:pPr>
        <w:spacing w:after="0" w:before="40"/>
      </w:pPr>
      <w:r>
        <w:rPr>
          <w:rFonts w:ascii="Garamond" w:cs="Garamond" w:eastAsia="Garamond" w:hAnsi="Garamond"/>
          <w:color w:val="000000"/>
          <w:sz w:val="20"/>
          <w:szCs w:val="20"/>
        </w:rPr>
        <w:t xml:space="preserve">Eleanor Hicks Award: "From the Faculty to The Most Outstanding Graduating Woman"</w:t>
      </w:r>
    </w:p>
    <w:p>
      <w:pPr>
        <w:spacing w:after="0" w:before="40"/>
      </w:pPr>
      <w:r>
        <w:rPr>
          <w:rFonts w:ascii="Garamond" w:cs="Garamond" w:eastAsia="Garamond" w:hAnsi="Garamond"/>
          <w:color w:val="000000"/>
          <w:sz w:val="20"/>
          <w:szCs w:val="20"/>
        </w:rPr>
        <w:t xml:space="preserve">Commencement Speaker  ·  Melba Wuenschel Prize  ·  Taft Fellowship and Taft Enrichment Awards</w:t>
      </w:r>
    </w:p>
    <w:p>
      <w:pPr>
        <w:pBdr>
          <w:bottom w:val="single" w:color="1B3A5C" w:sz="8" w:space="4"/>
        </w:pBdr>
        <w:spacing w:after="80" w:before="320"/>
      </w:pPr>
      <w:r>
        <w:rPr>
          <w:rFonts w:ascii="Garamond" w:cs="Garamond" w:eastAsia="Garamond" w:hAnsi="Garamond"/>
          <w:b/>
          <w:bCs/>
          <w:color w:val="1B3A5C"/>
          <w:spacing w:val="80"/>
          <w:sz w:val="22"/>
          <w:szCs w:val="22"/>
        </w:rPr>
        <w:t xml:space="preserve">FEDERAL CLERKSHIP</w:t>
      </w:r>
    </w:p>
    <w:p>
      <w:pPr>
        <w:tabs>
          <w:tab w:val="right" w:pos="9360"/>
        </w:tabs>
        <w:spacing w:after="0" w:before="60"/>
      </w:pPr>
      <w:r>
        <w:rPr>
          <w:rFonts w:ascii="Garamond" w:cs="Garamond" w:eastAsia="Garamond" w:hAnsi="Garamond"/>
          <w:b/>
          <w:bCs/>
          <w:color w:val="1B3A5C"/>
          <w:sz w:val="20"/>
          <w:szCs w:val="20"/>
        </w:rPr>
        <w:t xml:space="preserve">Law Clerk to the Honorable James L. Ryan</w:t>
      </w:r>
      <w:r>
        <w:rPr>
          <w:rFonts w:ascii="Garamond" w:cs="Garamond" w:eastAsia="Garamond" w:hAnsi="Garamond"/>
          <w:color w:val="555555"/>
          <w:sz w:val="20"/>
          <w:szCs w:val="20"/>
        </w:rPr>
        <w:t xml:space="preserve">	1995–1996</w:t>
      </w:r>
    </w:p>
    <w:p>
      <w:pPr>
        <w:spacing w:after="0" w:before="40"/>
      </w:pPr>
      <w:r>
        <w:rPr>
          <w:rFonts w:ascii="Garamond" w:cs="Garamond" w:eastAsia="Garamond" w:hAnsi="Garamond"/>
          <w:color w:val="000000"/>
          <w:sz w:val="20"/>
          <w:szCs w:val="20"/>
        </w:rPr>
        <w:t xml:space="preserve">Circuit Judge, United States Court of Appeals for the Sixth Circuit</w:t>
      </w:r>
    </w:p>
    <w:p>
      <w:pPr>
        <w:pBdr>
          <w:bottom w:val="single" w:color="1B3A5C" w:sz="8" w:space="4"/>
        </w:pBdr>
        <w:spacing w:after="80" w:before="320"/>
      </w:pPr>
      <w:r>
        <w:rPr>
          <w:rFonts w:ascii="Garamond" w:cs="Garamond" w:eastAsia="Garamond" w:hAnsi="Garamond"/>
          <w:b/>
          <w:bCs/>
          <w:color w:val="1B3A5C"/>
          <w:spacing w:val="80"/>
          <w:sz w:val="22"/>
          <w:szCs w:val="22"/>
        </w:rPr>
        <w:t xml:space="preserve">AWARDS &amp; HONORS</w:t>
      </w:r>
    </w:p>
    <w:p>
      <w:pPr>
        <w:pStyle w:val="ListParagraph"/>
        <w:numPr>
          <w:ilvl w:val="0"/>
          <w:numId w:val="2"/>
        </w:numPr>
        <w:spacing w:after="0" w:before="40"/>
      </w:pPr>
      <w:r>
        <w:rPr>
          <w:rFonts w:ascii="Garamond" w:cs="Garamond" w:eastAsia="Garamond" w:hAnsi="Garamond"/>
          <w:sz w:val="20"/>
          <w:szCs w:val="20"/>
        </w:rPr>
        <w:t xml:space="preserve">Fulbright Senior Scholar Grantee, Spain — 2004/2005</w:t>
      </w:r>
    </w:p>
    <w:p>
      <w:pPr>
        <w:pStyle w:val="ListParagraph"/>
        <w:numPr>
          <w:ilvl w:val="0"/>
          <w:numId w:val="2"/>
        </w:numPr>
        <w:spacing w:after="0" w:before="40"/>
      </w:pPr>
      <w:r>
        <w:rPr>
          <w:rFonts w:ascii="Garamond" w:cs="Garamond" w:eastAsia="Garamond" w:hAnsi="Garamond"/>
          <w:sz w:val="20"/>
          <w:szCs w:val="20"/>
        </w:rPr>
        <w:t xml:space="preserve">All-University Outstanding Faculty Leader Award, University of Arizona — 2004</w:t>
      </w:r>
    </w:p>
    <w:p>
      <w:pPr>
        <w:pStyle w:val="ListParagraph"/>
        <w:numPr>
          <w:ilvl w:val="0"/>
          <w:numId w:val="2"/>
        </w:numPr>
        <w:spacing w:after="0" w:before="40"/>
      </w:pPr>
      <w:r>
        <w:rPr>
          <w:rFonts w:ascii="Garamond" w:cs="Garamond" w:eastAsia="Garamond" w:hAnsi="Garamond"/>
          <w:sz w:val="20"/>
          <w:szCs w:val="20"/>
        </w:rPr>
        <w:t xml:space="preserve">J.T. Canales Distinguished Alumni Award, University of Michigan Law School, Latino Law Students Association — 2003</w:t>
      </w:r>
    </w:p>
    <w:p>
      <w:pPr>
        <w:pStyle w:val="ListParagraph"/>
        <w:numPr>
          <w:ilvl w:val="0"/>
          <w:numId w:val="2"/>
        </w:numPr>
        <w:spacing w:after="0" w:before="40"/>
      </w:pPr>
      <w:r>
        <w:rPr>
          <w:rFonts w:ascii="Garamond" w:cs="Garamond" w:eastAsia="Garamond" w:hAnsi="Garamond"/>
          <w:sz w:val="20"/>
          <w:szCs w:val="20"/>
        </w:rPr>
        <w:t xml:space="preserve">L. Hart Wright Teaching Excellence Award, Teacher of the Year, University of Michigan Law School — 2002</w:t>
      </w:r>
    </w:p>
    <w:p>
      <w:pPr>
        <w:pStyle w:val="ListParagraph"/>
        <w:numPr>
          <w:ilvl w:val="0"/>
          <w:numId w:val="2"/>
        </w:numPr>
        <w:spacing w:after="0" w:before="40"/>
      </w:pPr>
      <w:r>
        <w:rPr>
          <w:rFonts w:ascii="Garamond" w:cs="Garamond" w:eastAsia="Garamond" w:hAnsi="Garamond"/>
          <w:sz w:val="20"/>
          <w:szCs w:val="20"/>
        </w:rPr>
        <w:t xml:space="preserve">John W. Strong Teaching Excellence Award, Teacher of the Year, University of Arizona James E. Rogers College of Law — 2002</w:t>
      </w:r>
    </w:p>
    <w:p>
      <w:pPr>
        <w:pStyle w:val="ListParagraph"/>
        <w:numPr>
          <w:ilvl w:val="0"/>
          <w:numId w:val="2"/>
        </w:numPr>
        <w:spacing w:after="0" w:before="40"/>
      </w:pPr>
      <w:r>
        <w:rPr>
          <w:rFonts w:ascii="Garamond" w:cs="Garamond" w:eastAsia="Garamond" w:hAnsi="Garamond"/>
          <w:sz w:val="20"/>
          <w:szCs w:val="20"/>
        </w:rPr>
        <w:t xml:space="preserve">Outstanding Faculty Mentor Nominee, Graduate &amp; Professional Student Council, University of Arizona — 2001</w:t>
      </w:r>
    </w:p>
    <w:p>
      <w:pPr>
        <w:pStyle w:val="ListParagraph"/>
        <w:numPr>
          <w:ilvl w:val="0"/>
          <w:numId w:val="2"/>
        </w:numPr>
        <w:spacing w:after="0" w:before="40"/>
      </w:pPr>
      <w:r>
        <w:rPr>
          <w:rFonts w:ascii="Garamond" w:cs="Garamond" w:eastAsia="Garamond" w:hAnsi="Garamond"/>
          <w:sz w:val="20"/>
          <w:szCs w:val="20"/>
        </w:rPr>
        <w:t xml:space="preserve">Teacher of the Year Award, University of Arizona James E. Rogers College of Law — 2001</w:t>
      </w:r>
    </w:p>
    <w:p>
      <w:pPr>
        <w:pStyle w:val="ListParagraph"/>
        <w:numPr>
          <w:ilvl w:val="0"/>
          <w:numId w:val="2"/>
        </w:numPr>
        <w:spacing w:after="0" w:before="40"/>
      </w:pPr>
      <w:r>
        <w:rPr>
          <w:rFonts w:ascii="Garamond" w:cs="Garamond" w:eastAsia="Garamond" w:hAnsi="Garamond"/>
          <w:sz w:val="20"/>
          <w:szCs w:val="20"/>
        </w:rPr>
        <w:t xml:space="preserve">Juan Luis Tienda Award, Latino Law Students Association, University of Michigan — 1995</w:t>
      </w:r>
    </w:p>
    <w:p>
      <w:pPr>
        <w:pStyle w:val="ListParagraph"/>
        <w:numPr>
          <w:ilvl w:val="0"/>
          <w:numId w:val="2"/>
        </w:numPr>
        <w:spacing w:after="0" w:before="40"/>
      </w:pPr>
      <w:r>
        <w:rPr>
          <w:rFonts w:ascii="Garamond" w:cs="Garamond" w:eastAsia="Garamond" w:hAnsi="Garamond"/>
          <w:sz w:val="20"/>
          <w:szCs w:val="20"/>
        </w:rPr>
        <w:t xml:space="preserve">Best Advocate Award, First-Year Legal Writing Moot Court, University of Michigan — 1995</w:t>
      </w:r>
    </w:p>
    <w:p>
      <w:pPr>
        <w:pStyle w:val="ListParagraph"/>
        <w:numPr>
          <w:ilvl w:val="0"/>
          <w:numId w:val="2"/>
        </w:numPr>
        <w:spacing w:after="0" w:before="40"/>
      </w:pPr>
      <w:r>
        <w:rPr>
          <w:rFonts w:ascii="Garamond" w:cs="Garamond" w:eastAsia="Garamond" w:hAnsi="Garamond"/>
          <w:sz w:val="20"/>
          <w:szCs w:val="20"/>
        </w:rPr>
        <w:t xml:space="preserve">Eleanor Hicks Award: Most Outstanding Graduating Woman, University of Cincinnati — 1992</w:t>
      </w:r>
    </w:p>
    <w:p>
      <w:pPr>
        <w:pStyle w:val="ListParagraph"/>
        <w:numPr>
          <w:ilvl w:val="0"/>
          <w:numId w:val="2"/>
        </w:numPr>
        <w:spacing w:after="0" w:before="40"/>
      </w:pPr>
      <w:r>
        <w:rPr>
          <w:rFonts w:ascii="Garamond" w:cs="Garamond" w:eastAsia="Garamond" w:hAnsi="Garamond"/>
          <w:sz w:val="20"/>
          <w:szCs w:val="20"/>
        </w:rPr>
        <w:t xml:space="preserve">Phi Beta Kappa  ·  Melba Wuenschel Prize  ·  Taft Fellowship  ·  Taft Enrichment Award</w:t>
      </w:r>
    </w:p>
    <w:p>
      <w:pPr>
        <w:pBdr>
          <w:bottom w:val="single" w:color="1B3A5C" w:sz="8" w:space="4"/>
        </w:pBdr>
        <w:spacing w:after="80" w:before="320"/>
      </w:pPr>
      <w:r>
        <w:rPr>
          <w:rFonts w:ascii="Garamond" w:cs="Garamond" w:eastAsia="Garamond" w:hAnsi="Garamond"/>
          <w:b/>
          <w:bCs/>
          <w:color w:val="1B3A5C"/>
          <w:spacing w:val="80"/>
          <w:sz w:val="22"/>
          <w:szCs w:val="22"/>
        </w:rPr>
        <w:t xml:space="preserve">SCHOLARSHIP &amp; PUBLICATIONS</w:t>
      </w:r>
    </w:p>
    <w:p>
      <w:pPr>
        <w:spacing w:after="0" w:before="40"/>
      </w:pPr>
      <w:r>
        <w:rPr>
          <w:rFonts w:ascii="Garamond" w:cs="Garamond" w:eastAsia="Garamond" w:hAnsi="Garamond"/>
          <w:color w:val="1B3A5C"/>
          <w:sz w:val="20"/>
          <w:szCs w:val="20"/>
        </w:rPr>
        <w:t xml:space="preserve">CURRENT WORK (2024–2026)</w:t>
      </w:r>
    </w:p>
    <w:p>
      <w:pPr>
        <w:spacing w:after="0" w:before="40"/>
      </w:pPr>
      <w:r>
        <w:t xml:space="preserve"/>
      </w:r>
    </w:p>
    <w:p>
      <w:pPr>
        <w:pStyle w:val="ListParagraph"/>
        <w:numPr>
          <w:ilvl w:val="0"/>
          <w:numId w:val="2"/>
        </w:numPr>
        <w:spacing w:after="0" w:before="40"/>
      </w:pPr>
      <w:r>
        <w:rPr>
          <w:rFonts w:ascii="Garamond" w:cs="Garamond" w:eastAsia="Garamond" w:hAnsi="Garamond"/>
          <w:sz w:val="20"/>
          <w:szCs w:val="20"/>
        </w:rPr>
        <w:t xml:space="preserve">"La arquitectura de lo que la ciencia no escucha: Hacia una epistemología post-patológica de la neurodiversidad." Ciencias y Saberes, No. 164 (Marzo 2026).</w:t>
      </w:r>
    </w:p>
    <w:p>
      <w:pPr>
        <w:pStyle w:val="ListParagraph"/>
        <w:numPr>
          <w:ilvl w:val="0"/>
          <w:numId w:val="2"/>
        </w:numPr>
        <w:spacing w:after="0" w:before="40"/>
      </w:pPr>
      <w:r>
        <w:rPr>
          <w:rFonts w:ascii="Garamond" w:cs="Garamond" w:eastAsia="Garamond" w:hAnsi="Garamond"/>
          <w:sz w:val="20"/>
          <w:szCs w:val="20"/>
        </w:rPr>
        <w:t xml:space="preserve">"Las Declaraciones de Uta Frith y el Sesgo de Género en la Ciencia del Autismo" (with Dra. Miriam Tecamachaltzi). La Jornada del Oriente, Marzo 16, 2026.</w:t>
      </w:r>
    </w:p>
    <w:p>
      <w:pPr>
        <w:pStyle w:val="ListParagraph"/>
        <w:numPr>
          <w:ilvl w:val="0"/>
          <w:numId w:val="2"/>
        </w:numPr>
        <w:spacing w:after="0" w:before="40"/>
      </w:pPr>
      <w:r>
        <w:rPr>
          <w:rFonts w:ascii="Garamond" w:cs="Garamond" w:eastAsia="Garamond" w:hAnsi="Garamond"/>
          <w:sz w:val="20"/>
          <w:szCs w:val="20"/>
        </w:rPr>
        <w:t xml:space="preserve">"La industria de la desesperación: vacíos sistémicos, pseudociencia y autismo en América Latina." Ciencias y Saberes, No. 165 (Agosto 2026, forthcoming).</w:t>
      </w:r>
    </w:p>
    <w:p>
      <w:pPr>
        <w:pStyle w:val="ListParagraph"/>
        <w:numPr>
          <w:ilvl w:val="0"/>
          <w:numId w:val="2"/>
        </w:numPr>
        <w:spacing w:after="0" w:before="40"/>
      </w:pPr>
      <w:r>
        <w:rPr>
          <w:rFonts w:ascii="Garamond" w:cs="Garamond" w:eastAsia="Garamond" w:hAnsi="Garamond"/>
          <w:sz w:val="20"/>
          <w:szCs w:val="20"/>
        </w:rPr>
        <w:t xml:space="preserve">"Arquitectura de exclusión y derecho al cuidado: La OC-31/25 y la población neurodivergente adulta en América Latina." Working Paper, in progress.</w:t>
      </w:r>
    </w:p>
    <w:p>
      <w:pPr>
        <w:spacing w:after="0" w:before="80"/>
      </w:pPr>
      <w:r>
        <w:t xml:space="preserve"/>
      </w:r>
    </w:p>
    <w:p>
      <w:pPr>
        <w:spacing w:after="0" w:before="40"/>
      </w:pPr>
      <w:r>
        <w:rPr>
          <w:rFonts w:ascii="Garamond" w:cs="Garamond" w:eastAsia="Garamond" w:hAnsi="Garamond"/>
          <w:color w:val="1B3A5C"/>
          <w:sz w:val="20"/>
          <w:szCs w:val="20"/>
        </w:rPr>
        <w:t xml:space="preserve">EARLIER SCHOLARSHIP</w:t>
      </w:r>
    </w:p>
    <w:p>
      <w:pPr>
        <w:spacing w:after="0" w:before="40"/>
      </w:pPr>
      <w:r>
        <w:rPr>
          <w:rFonts w:ascii="Garamond" w:cs="Garamond" w:eastAsia="Garamond" w:hAnsi="Garamond"/>
          <w:color w:val="555555"/>
          <w:sz w:val="20"/>
          <w:szCs w:val="20"/>
        </w:rPr>
        <w:t xml:space="preserve">Works published during the academic period at the University of Arizona are cited in their original language of publication.</w:t>
      </w:r>
    </w:p>
    <w:p>
      <w:pPr>
        <w:spacing w:after="0" w:before="40"/>
      </w:pPr>
      <w:r>
        <w:t xml:space="preserve"/>
      </w:r>
    </w:p>
    <w:p>
      <w:pPr>
        <w:pStyle w:val="ListParagraph"/>
        <w:numPr>
          <w:ilvl w:val="0"/>
          <w:numId w:val="2"/>
        </w:numPr>
        <w:spacing w:after="0" w:before="40"/>
      </w:pPr>
      <w:r>
        <w:rPr>
          <w:rFonts w:ascii="Garamond" w:cs="Garamond" w:eastAsia="Garamond" w:hAnsi="Garamond"/>
          <w:sz w:val="20"/>
          <w:szCs w:val="20"/>
        </w:rPr>
        <w:t xml:space="preserve">Book Review, Introducción al Derecho Constitucional Comparado, Robert Scarciglia. Am. J. Comp. Law (2014).</w:t>
      </w:r>
    </w:p>
    <w:p>
      <w:pPr>
        <w:pStyle w:val="ListParagraph"/>
        <w:numPr>
          <w:ilvl w:val="0"/>
          <w:numId w:val="2"/>
        </w:numPr>
        <w:spacing w:after="0" w:before="40"/>
      </w:pPr>
      <w:r>
        <w:rPr>
          <w:rFonts w:ascii="Garamond" w:cs="Garamond" w:eastAsia="Garamond" w:hAnsi="Garamond"/>
          <w:sz w:val="20"/>
          <w:szCs w:val="20"/>
        </w:rPr>
        <w:t xml:space="preserve">Socrates' Brain: The NeuroCognitive Sciences in Legal Education (2013).</w:t>
      </w:r>
    </w:p>
    <w:p>
      <w:pPr>
        <w:pStyle w:val="ListParagraph"/>
        <w:numPr>
          <w:ilvl w:val="0"/>
          <w:numId w:val="2"/>
        </w:numPr>
        <w:spacing w:after="0" w:before="40"/>
      </w:pPr>
      <w:r>
        <w:rPr>
          <w:rFonts w:ascii="Garamond" w:cs="Garamond" w:eastAsia="Garamond" w:hAnsi="Garamond"/>
          <w:sz w:val="20"/>
          <w:szCs w:val="20"/>
        </w:rPr>
        <w:t xml:space="preserve">La Enseñanza del Derecho en Estados Unidos. Cuadernos del Instituto Antonio de Nebrija, Universidad Carlos III de Madrid (Dykinson, 2005).</w:t>
      </w:r>
    </w:p>
    <w:p>
      <w:pPr>
        <w:pStyle w:val="ListParagraph"/>
        <w:numPr>
          <w:ilvl w:val="0"/>
          <w:numId w:val="2"/>
        </w:numPr>
        <w:spacing w:after="0" w:before="40"/>
      </w:pPr>
      <w:r>
        <w:rPr>
          <w:rFonts w:ascii="Garamond" w:cs="Garamond" w:eastAsia="Garamond" w:hAnsi="Garamond"/>
          <w:sz w:val="20"/>
          <w:szCs w:val="20"/>
        </w:rPr>
        <w:t xml:space="preserve">La Organización Administrativa: La Participación Ciudadana en la Gestión Administrativa y el Control. Revista Jurídica de la Universidad de Buenos Aires, Facultad de Derecho (January 2005).</w:t>
      </w:r>
    </w:p>
    <w:p>
      <w:pPr>
        <w:pStyle w:val="ListParagraph"/>
        <w:numPr>
          <w:ilvl w:val="0"/>
          <w:numId w:val="2"/>
        </w:numPr>
        <w:spacing w:after="0" w:before="40"/>
      </w:pPr>
      <w:r>
        <w:rPr>
          <w:rFonts w:ascii="Garamond" w:cs="Garamond" w:eastAsia="Garamond" w:hAnsi="Garamond"/>
          <w:sz w:val="20"/>
          <w:szCs w:val="20"/>
        </w:rPr>
        <w:t xml:space="preserve">Latinos in the Law Profession; Latino Politics; Latino Voters; United States Congress; the Homestead Act. In Encyclopedia Latina (Grolier, April 2005).</w:t>
      </w:r>
    </w:p>
    <w:p>
      <w:pPr>
        <w:pStyle w:val="ListParagraph"/>
        <w:numPr>
          <w:ilvl w:val="0"/>
          <w:numId w:val="2"/>
        </w:numPr>
        <w:spacing w:after="0" w:before="40"/>
      </w:pPr>
      <w:r>
        <w:rPr>
          <w:rFonts w:ascii="Garamond" w:cs="Garamond" w:eastAsia="Garamond" w:hAnsi="Garamond"/>
          <w:sz w:val="20"/>
          <w:szCs w:val="20"/>
        </w:rPr>
        <w:t xml:space="preserve">Of Federalism, Human Rights, and The Holland Caveat: Congressional Power to Implement Treaty Obligations. 25 Mich. J. Int'l L. 295 (March 2004).</w:t>
      </w:r>
    </w:p>
    <w:p>
      <w:pPr>
        <w:pStyle w:val="ListParagraph"/>
        <w:numPr>
          <w:ilvl w:val="0"/>
          <w:numId w:val="2"/>
        </w:numPr>
        <w:spacing w:after="0" w:before="40"/>
      </w:pPr>
      <w:r>
        <w:rPr>
          <w:rFonts w:ascii="Garamond" w:cs="Garamond" w:eastAsia="Garamond" w:hAnsi="Garamond"/>
          <w:sz w:val="20"/>
          <w:szCs w:val="20"/>
        </w:rPr>
        <w:t xml:space="preserve">One Proposed Tool for Learning, Playing, and Reducing Anxiety in Civil Procedure. 47 St. Louis U. L. Rev. 59 (2003). Invited contributor, Symposium on Teaching Civil Procedure.</w:t>
      </w:r>
    </w:p>
    <w:p>
      <w:pPr>
        <w:pStyle w:val="ListParagraph"/>
        <w:numPr>
          <w:ilvl w:val="0"/>
          <w:numId w:val="2"/>
        </w:numPr>
        <w:spacing w:after="0" w:before="40"/>
      </w:pPr>
      <w:r>
        <w:rPr>
          <w:rFonts w:ascii="Garamond" w:cs="Garamond" w:eastAsia="Garamond" w:hAnsi="Garamond"/>
          <w:sz w:val="20"/>
          <w:szCs w:val="20"/>
        </w:rPr>
        <w:t xml:space="preserve">This Chicken Speaks for Itself: Reviewing American Law of Trade and Investment. 19 Ariz. J. Int'l &amp; Comp. L. 931 (2003).</w:t>
      </w:r>
    </w:p>
    <w:p>
      <w:pPr>
        <w:pStyle w:val="ListParagraph"/>
        <w:numPr>
          <w:ilvl w:val="0"/>
          <w:numId w:val="2"/>
        </w:numPr>
        <w:spacing w:after="0" w:before="40"/>
      </w:pPr>
      <w:r>
        <w:rPr>
          <w:rFonts w:ascii="Garamond" w:cs="Garamond" w:eastAsia="Garamond" w:hAnsi="Garamond"/>
          <w:sz w:val="20"/>
          <w:szCs w:val="20"/>
        </w:rPr>
        <w:t xml:space="preserve">United States v. Morrison &amp; The Emperor's New Clothes. 27 Journal of College and University Law 735 (2002).</w:t>
      </w:r>
    </w:p>
    <w:p>
      <w:pPr>
        <w:pStyle w:val="ListParagraph"/>
        <w:numPr>
          <w:ilvl w:val="0"/>
          <w:numId w:val="2"/>
        </w:numPr>
        <w:spacing w:after="0" w:before="40"/>
      </w:pPr>
      <w:r>
        <w:rPr>
          <w:rFonts w:ascii="Garamond" w:cs="Garamond" w:eastAsia="Garamond" w:hAnsi="Garamond"/>
          <w:sz w:val="20"/>
          <w:szCs w:val="20"/>
        </w:rPr>
        <w:t xml:space="preserve">Of Maine's Sovereignty, Alden's Federalism, and the Myth of Absolute Principles. 33 U.C. Davis Law Review 325 (2000).</w:t>
      </w:r>
    </w:p>
    <w:p>
      <w:pPr>
        <w:pStyle w:val="ListParagraph"/>
        <w:numPr>
          <w:ilvl w:val="0"/>
          <w:numId w:val="2"/>
        </w:numPr>
        <w:spacing w:after="0" w:before="40"/>
      </w:pPr>
      <w:r>
        <w:rPr>
          <w:rFonts w:ascii="Garamond" w:cs="Garamond" w:eastAsia="Garamond" w:hAnsi="Garamond"/>
          <w:sz w:val="20"/>
          <w:szCs w:val="20"/>
        </w:rPr>
        <w:t xml:space="preserve">Un Esbozo de la Constitución Americana y La Revisión Judicial Comparada. Submitted for publication, 2014.</w:t>
      </w:r>
    </w:p>
    <w:p>
      <w:pPr>
        <w:pStyle w:val="ListParagraph"/>
        <w:numPr>
          <w:ilvl w:val="0"/>
          <w:numId w:val="2"/>
        </w:numPr>
        <w:spacing w:after="0" w:before="40"/>
      </w:pPr>
      <w:r>
        <w:rPr>
          <w:rFonts w:ascii="Garamond" w:cs="Garamond" w:eastAsia="Garamond" w:hAnsi="Garamond"/>
          <w:sz w:val="20"/>
          <w:szCs w:val="20"/>
        </w:rPr>
        <w:t xml:space="preserve">Argumentaciones Políticas Acerca de los Tribunales Norteamericanos: Una Introducción Comparada. Submitted for publication, 2014.</w:t>
      </w:r>
    </w:p>
    <w:p>
      <w:pPr>
        <w:pBdr>
          <w:bottom w:val="single" w:color="1B3A5C" w:sz="8" w:space="4"/>
        </w:pBdr>
        <w:spacing w:after="80" w:before="320"/>
      </w:pPr>
      <w:r>
        <w:rPr>
          <w:rFonts w:ascii="Garamond" w:cs="Garamond" w:eastAsia="Garamond" w:hAnsi="Garamond"/>
          <w:b/>
          <w:bCs/>
          <w:color w:val="1B3A5C"/>
          <w:spacing w:val="80"/>
          <w:sz w:val="22"/>
          <w:szCs w:val="22"/>
        </w:rPr>
        <w:t xml:space="preserve">PRESENTATIONS, KEYNOTES &amp; INVITED LECTURES</w:t>
      </w:r>
    </w:p>
    <w:p>
      <w:pPr>
        <w:spacing w:after="0" w:before="40"/>
      </w:pPr>
      <w:r>
        <w:rPr>
          <w:rFonts w:ascii="Garamond" w:cs="Garamond" w:eastAsia="Garamond" w:hAnsi="Garamond"/>
          <w:color w:val="1B3A5C"/>
          <w:sz w:val="20"/>
          <w:szCs w:val="20"/>
        </w:rPr>
        <w:t xml:space="preserve">2024–2026</w:t>
      </w:r>
    </w:p>
    <w:p>
      <w:pPr>
        <w:spacing w:after="0" w:before="40"/>
      </w:pPr>
      <w:r>
        <w:t xml:space="preserve"/>
      </w:r>
    </w:p>
    <w:p>
      <w:pPr>
        <w:pStyle w:val="ListParagraph"/>
        <w:numPr>
          <w:ilvl w:val="0"/>
          <w:numId w:val="2"/>
        </w:numPr>
        <w:spacing w:after="0" w:before="40"/>
      </w:pPr>
      <w:r>
        <w:rPr>
          <w:rFonts w:ascii="Garamond" w:cs="Garamond" w:eastAsia="Garamond" w:hAnsi="Garamond"/>
          <w:sz w:val="20"/>
          <w:szCs w:val="20"/>
        </w:rPr>
        <w:t xml:space="preserve">Rompiendo Moldes: Neurodivergencia y Pensamiento Crítico en la Vida Real. Fundación El Baúl de Pinocho, Ecuador — 2026.</w:t>
      </w:r>
    </w:p>
    <w:p>
      <w:pPr>
        <w:pStyle w:val="ListParagraph"/>
        <w:numPr>
          <w:ilvl w:val="0"/>
          <w:numId w:val="2"/>
        </w:numPr>
        <w:spacing w:after="0" w:before="40"/>
      </w:pPr>
      <w:r>
        <w:rPr>
          <w:rFonts w:ascii="Garamond" w:cs="Garamond" w:eastAsia="Garamond" w:hAnsi="Garamond"/>
          <w:sz w:val="20"/>
          <w:szCs w:val="20"/>
        </w:rPr>
        <w:t xml:space="preserve">Hacia una Ciencia Post-Patológica. VII Semana de la Mujer y la Niña en la Ciencia, Universidad Autónoma de Tlaxcala — 2026.</w:t>
      </w:r>
    </w:p>
    <w:p>
      <w:pPr>
        <w:pStyle w:val="ListParagraph"/>
        <w:numPr>
          <w:ilvl w:val="0"/>
          <w:numId w:val="2"/>
        </w:numPr>
        <w:spacing w:after="0" w:before="40"/>
      </w:pPr>
      <w:r>
        <w:rPr>
          <w:rFonts w:ascii="Garamond" w:cs="Garamond" w:eastAsia="Garamond" w:hAnsi="Garamond"/>
          <w:sz w:val="20"/>
          <w:szCs w:val="20"/>
        </w:rPr>
        <w:t xml:space="preserve">Lo que Nadie Midió: Una Filosofía de la Vida Autista. Keynote, Congreso de Autismo, Saltillo, Coahuila — 2026.</w:t>
      </w:r>
    </w:p>
    <w:p>
      <w:pPr>
        <w:pStyle w:val="ListParagraph"/>
        <w:numPr>
          <w:ilvl w:val="0"/>
          <w:numId w:val="2"/>
        </w:numPr>
        <w:spacing w:after="0" w:before="40"/>
      </w:pPr>
      <w:r>
        <w:rPr>
          <w:rFonts w:ascii="Garamond" w:cs="Garamond" w:eastAsia="Garamond" w:hAnsi="Garamond"/>
          <w:sz w:val="20"/>
          <w:szCs w:val="20"/>
        </w:rPr>
        <w:t xml:space="preserve">Ponencia, Foro de Legislación en Neurodiversidad. Cámara de Diputados, México — June 2026.</w:t>
      </w:r>
    </w:p>
    <w:p>
      <w:pPr>
        <w:pStyle w:val="ListParagraph"/>
        <w:numPr>
          <w:ilvl w:val="0"/>
          <w:numId w:val="2"/>
        </w:numPr>
        <w:spacing w:after="0" w:before="40"/>
      </w:pPr>
      <w:r>
        <w:rPr>
          <w:rFonts w:ascii="Garamond" w:cs="Garamond" w:eastAsia="Garamond" w:hAnsi="Garamond"/>
          <w:sz w:val="20"/>
          <w:szCs w:val="20"/>
        </w:rPr>
        <w:t xml:space="preserve">El Paradigma de la Neurodiversidad: Una Visión Humana del Autismo. Conversatorio sobre la Concientización del Autismo, Ma'alob Kuxtal, Playa del Carmen — 2025.</w:t>
      </w:r>
    </w:p>
    <w:p>
      <w:pPr>
        <w:pStyle w:val="ListParagraph"/>
        <w:numPr>
          <w:ilvl w:val="0"/>
          <w:numId w:val="2"/>
        </w:numPr>
        <w:spacing w:after="0" w:before="40"/>
      </w:pPr>
      <w:r>
        <w:rPr>
          <w:rFonts w:ascii="Garamond" w:cs="Garamond" w:eastAsia="Garamond" w:hAnsi="Garamond"/>
          <w:sz w:val="20"/>
          <w:szCs w:val="20"/>
        </w:rPr>
        <w:t xml:space="preserve">Una Estrategia Empresarial Inteligente: La Neurodivergencia en el Campo Laboral. Corporate Training, Municipio de Solidaridad — 2024.</w:t>
      </w:r>
    </w:p>
    <w:p>
      <w:pPr>
        <w:pStyle w:val="ListParagraph"/>
        <w:numPr>
          <w:ilvl w:val="0"/>
          <w:numId w:val="2"/>
        </w:numPr>
        <w:spacing w:after="0" w:before="40"/>
      </w:pPr>
      <w:r>
        <w:rPr>
          <w:rFonts w:ascii="Garamond" w:cs="Garamond" w:eastAsia="Garamond" w:hAnsi="Garamond"/>
          <w:sz w:val="20"/>
          <w:szCs w:val="20"/>
        </w:rPr>
        <w:t xml:space="preserve">Qué es el Autismo: Mitos, Lenguaje e Inclusión. Primera Feria Neuroinclusiva de la Riviera Maya, Ma'alob Kuxtal, Playa del Carmen — 2024.</w:t>
      </w:r>
    </w:p>
    <w:p>
      <w:pPr>
        <w:pStyle w:val="ListParagraph"/>
        <w:numPr>
          <w:ilvl w:val="0"/>
          <w:numId w:val="2"/>
        </w:numPr>
        <w:spacing w:after="0" w:before="40"/>
      </w:pPr>
      <w:r>
        <w:rPr>
          <w:rFonts w:ascii="Garamond" w:cs="Garamond" w:eastAsia="Garamond" w:hAnsi="Garamond"/>
          <w:sz w:val="20"/>
          <w:szCs w:val="20"/>
        </w:rPr>
        <w:t xml:space="preserve">La Importancia de la Inclusión Laboral de las Personas Autistas. Municipio de Solidaridad, Playa del Carmen — 2024.</w:t>
      </w:r>
    </w:p>
    <w:p>
      <w:pPr>
        <w:spacing w:after="0" w:before="80"/>
      </w:pPr>
      <w:r>
        <w:t xml:space="preserve"/>
      </w:r>
    </w:p>
    <w:p>
      <w:pPr>
        <w:spacing w:after="0" w:before="40"/>
      </w:pPr>
      <w:r>
        <w:rPr>
          <w:rFonts w:ascii="Garamond" w:cs="Garamond" w:eastAsia="Garamond" w:hAnsi="Garamond"/>
          <w:color w:val="1B3A5C"/>
          <w:sz w:val="20"/>
          <w:szCs w:val="20"/>
        </w:rPr>
        <w:t xml:space="preserve">INTERNATIONAL (EARLIER)</w:t>
      </w:r>
    </w:p>
    <w:p>
      <w:pPr>
        <w:spacing w:after="0" w:before="40"/>
      </w:pPr>
      <w:r>
        <w:t xml:space="preserve"/>
      </w:r>
    </w:p>
    <w:p>
      <w:pPr>
        <w:pStyle w:val="ListParagraph"/>
        <w:numPr>
          <w:ilvl w:val="0"/>
          <w:numId w:val="2"/>
        </w:numPr>
        <w:spacing w:after="0" w:before="40"/>
      </w:pPr>
      <w:r>
        <w:rPr>
          <w:rFonts w:ascii="Garamond" w:cs="Garamond" w:eastAsia="Garamond" w:hAnsi="Garamond"/>
          <w:sz w:val="20"/>
          <w:szCs w:val="20"/>
        </w:rPr>
        <w:t xml:space="preserve">Invited Keynote Speaker and Model United Nations Organizer. Government of the Province of Corrientes, Argentina — August–September 2011.</w:t>
      </w:r>
    </w:p>
    <w:p>
      <w:pPr>
        <w:pStyle w:val="ListParagraph"/>
        <w:numPr>
          <w:ilvl w:val="0"/>
          <w:numId w:val="2"/>
        </w:numPr>
        <w:spacing w:after="0" w:before="40"/>
      </w:pPr>
      <w:r>
        <w:rPr>
          <w:rFonts w:ascii="Garamond" w:cs="Garamond" w:eastAsia="Garamond" w:hAnsi="Garamond"/>
          <w:sz w:val="20"/>
          <w:szCs w:val="20"/>
        </w:rPr>
        <w:t xml:space="preserve">Invited Panelist, Discussant, and Moderator. International Meeting of the International Studies Association and the Brazilian Cultural Center: The Influence of Global Migration on National Identities. Rio de Janeiro, Brazil — August 2009.</w:t>
      </w:r>
    </w:p>
    <w:p>
      <w:pPr>
        <w:pStyle w:val="ListParagraph"/>
        <w:numPr>
          <w:ilvl w:val="0"/>
          <w:numId w:val="2"/>
        </w:numPr>
        <w:spacing w:after="0" w:before="40"/>
      </w:pPr>
      <w:r>
        <w:rPr>
          <w:rFonts w:ascii="Garamond" w:cs="Garamond" w:eastAsia="Garamond" w:hAnsi="Garamond"/>
          <w:sz w:val="20"/>
          <w:szCs w:val="20"/>
        </w:rPr>
        <w:t xml:space="preserve">Invited Fulbright Scholar &amp; Speaker. Universidad Carlos III de Madrid, Departamento de Derecho e Instituto de Derechos Humanos Bartolomé de las Casas. Madrid, Spain — September–December 2004.</w:t>
      </w:r>
    </w:p>
    <w:p>
      <w:pPr>
        <w:pStyle w:val="ListParagraph"/>
        <w:numPr>
          <w:ilvl w:val="0"/>
          <w:numId w:val="2"/>
        </w:numPr>
        <w:spacing w:after="0" w:before="40"/>
      </w:pPr>
      <w:r>
        <w:rPr>
          <w:rFonts w:ascii="Garamond" w:cs="Garamond" w:eastAsia="Garamond" w:hAnsi="Garamond"/>
          <w:sz w:val="20"/>
          <w:szCs w:val="20"/>
        </w:rPr>
        <w:t xml:space="preserve">Invited Presenter, Seminario Internacional de Derecho Administrativo: Aportes para el Rediseño Institucional de la República Argentina. Universidad de Buenos Aires, Facultad de Derecho — March 2004.</w:t>
      </w:r>
    </w:p>
    <w:p>
      <w:pPr>
        <w:pStyle w:val="ListParagraph"/>
        <w:numPr>
          <w:ilvl w:val="0"/>
          <w:numId w:val="2"/>
        </w:numPr>
        <w:spacing w:after="0" w:before="40"/>
      </w:pPr>
      <w:r>
        <w:rPr>
          <w:rFonts w:ascii="Garamond" w:cs="Garamond" w:eastAsia="Garamond" w:hAnsi="Garamond"/>
          <w:sz w:val="20"/>
          <w:szCs w:val="20"/>
        </w:rPr>
        <w:t xml:space="preserve">Invited Speaker &amp; Outreach Presentation. Instituto Tecnológico Autónomo de México, Mexico City — March 2002.</w:t>
      </w:r>
    </w:p>
    <w:p>
      <w:pPr>
        <w:pStyle w:val="ListParagraph"/>
        <w:numPr>
          <w:ilvl w:val="0"/>
          <w:numId w:val="2"/>
        </w:numPr>
        <w:spacing w:after="0" w:before="40"/>
      </w:pPr>
      <w:r>
        <w:rPr>
          <w:rFonts w:ascii="Garamond" w:cs="Garamond" w:eastAsia="Garamond" w:hAnsi="Garamond"/>
          <w:sz w:val="20"/>
          <w:szCs w:val="20"/>
        </w:rPr>
        <w:t xml:space="preserve">Invited Faculty, Speaker, and Outreach Presentation. Universidad Torcuato Di Tella, Buenos Aires — May 2001, May 2002.</w:t>
      </w:r>
    </w:p>
    <w:p>
      <w:pPr>
        <w:spacing w:after="0" w:before="80"/>
      </w:pPr>
      <w:r>
        <w:t xml:space="preserve"/>
      </w:r>
    </w:p>
    <w:p>
      <w:pPr>
        <w:spacing w:after="0" w:before="40"/>
      </w:pPr>
      <w:r>
        <w:rPr>
          <w:rFonts w:ascii="Garamond" w:cs="Garamond" w:eastAsia="Garamond" w:hAnsi="Garamond"/>
          <w:color w:val="1B3A5C"/>
          <w:sz w:val="20"/>
          <w:szCs w:val="20"/>
        </w:rPr>
        <w:t xml:space="preserve">NATIONAL &amp; STATE (EARLIER)</w:t>
      </w:r>
    </w:p>
    <w:p>
      <w:pPr>
        <w:spacing w:after="0" w:before="40"/>
      </w:pPr>
      <w:r>
        <w:t xml:space="preserve"/>
      </w:r>
    </w:p>
    <w:p>
      <w:pPr>
        <w:pStyle w:val="ListParagraph"/>
        <w:numPr>
          <w:ilvl w:val="0"/>
          <w:numId w:val="2"/>
        </w:numPr>
        <w:spacing w:after="0" w:before="40"/>
      </w:pPr>
      <w:r>
        <w:rPr>
          <w:rFonts w:ascii="Garamond" w:cs="Garamond" w:eastAsia="Garamond" w:hAnsi="Garamond"/>
          <w:sz w:val="20"/>
          <w:szCs w:val="20"/>
        </w:rPr>
        <w:t xml:space="preserve">Keynote Speaker. The Perils of Ignorance: NeuroCognitive Overview of the Learner's Brain. Oregon Hispanic Bar Association Annual Meeting — February 2012.</w:t>
      </w:r>
    </w:p>
    <w:p>
      <w:pPr>
        <w:pStyle w:val="ListParagraph"/>
        <w:numPr>
          <w:ilvl w:val="0"/>
          <w:numId w:val="2"/>
        </w:numPr>
        <w:spacing w:after="0" w:before="40"/>
      </w:pPr>
      <w:r>
        <w:rPr>
          <w:rFonts w:ascii="Garamond" w:cs="Garamond" w:eastAsia="Garamond" w:hAnsi="Garamond"/>
          <w:sz w:val="20"/>
          <w:szCs w:val="20"/>
        </w:rPr>
        <w:t xml:space="preserve">Television Interview: Federalism Problems with HB 1070. Arizona Weekly with Michael Chihak — 2012.</w:t>
      </w:r>
    </w:p>
    <w:p>
      <w:pPr>
        <w:pStyle w:val="ListParagraph"/>
        <w:numPr>
          <w:ilvl w:val="0"/>
          <w:numId w:val="2"/>
        </w:numPr>
        <w:spacing w:after="0" w:before="40"/>
      </w:pPr>
      <w:r>
        <w:rPr>
          <w:rFonts w:ascii="Garamond" w:cs="Garamond" w:eastAsia="Garamond" w:hAnsi="Garamond"/>
          <w:sz w:val="20"/>
          <w:szCs w:val="20"/>
        </w:rPr>
        <w:t xml:space="preserve">Keynote Speaker with Rev. Jesse Jackson: Breaking Barriers: Racism and the Ethnic Tax. University of Oregon, Presidential Leadership Summit, Holden Institute — February 2010.</w:t>
      </w:r>
    </w:p>
    <w:p>
      <w:pPr>
        <w:pStyle w:val="ListParagraph"/>
        <w:numPr>
          <w:ilvl w:val="0"/>
          <w:numId w:val="2"/>
        </w:numPr>
        <w:spacing w:after="0" w:before="40"/>
      </w:pPr>
      <w:r>
        <w:rPr>
          <w:rFonts w:ascii="Garamond" w:cs="Garamond" w:eastAsia="Garamond" w:hAnsi="Garamond"/>
          <w:sz w:val="20"/>
          <w:szCs w:val="20"/>
        </w:rPr>
        <w:t xml:space="preserve">Television Interview: What Unleashed the Anger that Fueled HB 1070? Telemundo — March 2011.</w:t>
      </w:r>
    </w:p>
    <w:p>
      <w:pPr>
        <w:pStyle w:val="ListParagraph"/>
        <w:numPr>
          <w:ilvl w:val="0"/>
          <w:numId w:val="2"/>
        </w:numPr>
        <w:spacing w:after="0" w:before="40"/>
      </w:pPr>
      <w:r>
        <w:rPr>
          <w:rFonts w:ascii="Garamond" w:cs="Garamond" w:eastAsia="Garamond" w:hAnsi="Garamond"/>
          <w:sz w:val="20"/>
          <w:szCs w:val="20"/>
        </w:rPr>
        <w:t xml:space="preserve">Invited Panelist: How the Rest Sees the West: The Challenge of Legal Education and the Hegemony of Imperial Law. Annual Meeting of the American Society of Comparative Law, U.C. Hastings College of Law — October 2008.</w:t>
      </w:r>
    </w:p>
    <w:p>
      <w:pPr>
        <w:pStyle w:val="ListParagraph"/>
        <w:numPr>
          <w:ilvl w:val="0"/>
          <w:numId w:val="2"/>
        </w:numPr>
        <w:spacing w:after="0" w:before="40"/>
      </w:pPr>
      <w:r>
        <w:rPr>
          <w:rFonts w:ascii="Garamond" w:cs="Garamond" w:eastAsia="Garamond" w:hAnsi="Garamond"/>
          <w:sz w:val="20"/>
          <w:szCs w:val="20"/>
        </w:rPr>
        <w:t xml:space="preserve">Invited Keynote Speaker, State Bar of Oregon Annual Meeting: Addressing Diversity in an Evolving Legal and Global Environment. Portland, Oregon — September 2008.</w:t>
      </w:r>
    </w:p>
    <w:p>
      <w:pPr>
        <w:pStyle w:val="ListParagraph"/>
        <w:numPr>
          <w:ilvl w:val="0"/>
          <w:numId w:val="2"/>
        </w:numPr>
        <w:spacing w:after="0" w:before="40"/>
      </w:pPr>
      <w:r>
        <w:rPr>
          <w:rFonts w:ascii="Garamond" w:cs="Garamond" w:eastAsia="Garamond" w:hAnsi="Garamond"/>
          <w:sz w:val="20"/>
          <w:szCs w:val="20"/>
        </w:rPr>
        <w:t xml:space="preserve">Keynote Speaker: Accidentally on Purpose: Some Thoughts on the Power of YOU. Holden Leadership Institute, University of Oregon — April 2008.</w:t>
      </w:r>
    </w:p>
    <w:p>
      <w:pPr>
        <w:pStyle w:val="ListParagraph"/>
        <w:numPr>
          <w:ilvl w:val="0"/>
          <w:numId w:val="2"/>
        </w:numPr>
        <w:spacing w:after="0" w:before="40"/>
      </w:pPr>
      <w:r>
        <w:rPr>
          <w:rFonts w:ascii="Garamond" w:cs="Garamond" w:eastAsia="Garamond" w:hAnsi="Garamond"/>
          <w:sz w:val="20"/>
          <w:szCs w:val="20"/>
        </w:rPr>
        <w:t xml:space="preserve">Keynote Speaker, 2007/2008 District of Oregon Federal District Conference: The Perestroika of Affirmative Action in Law School Admissions. Eugene, Oregon — November 2007.</w:t>
      </w:r>
    </w:p>
    <w:p>
      <w:pPr>
        <w:pStyle w:val="ListParagraph"/>
        <w:numPr>
          <w:ilvl w:val="0"/>
          <w:numId w:val="2"/>
        </w:numPr>
        <w:spacing w:after="0" w:before="40"/>
      </w:pPr>
      <w:r>
        <w:rPr>
          <w:rFonts w:ascii="Garamond" w:cs="Garamond" w:eastAsia="Garamond" w:hAnsi="Garamond"/>
          <w:sz w:val="20"/>
          <w:szCs w:val="20"/>
        </w:rPr>
        <w:t xml:space="preserve">Keynote Speaker: Of Globalization, Law, and a Liberal Education. Phi Beta Kappa — 2005.</w:t>
      </w:r>
    </w:p>
    <w:p>
      <w:pPr>
        <w:pStyle w:val="ListParagraph"/>
        <w:numPr>
          <w:ilvl w:val="0"/>
          <w:numId w:val="2"/>
        </w:numPr>
        <w:spacing w:after="0" w:before="40"/>
      </w:pPr>
      <w:r>
        <w:rPr>
          <w:rFonts w:ascii="Garamond" w:cs="Garamond" w:eastAsia="Garamond" w:hAnsi="Garamond"/>
          <w:sz w:val="20"/>
          <w:szCs w:val="20"/>
        </w:rPr>
        <w:t xml:space="preserve">Invited Panelist: Teaching Techniques: The 1L Classroom. Association of American Law Schools, Workshop for New Law Teachers — June 2004.</w:t>
      </w:r>
    </w:p>
    <w:p>
      <w:pPr>
        <w:pStyle w:val="ListParagraph"/>
        <w:numPr>
          <w:ilvl w:val="0"/>
          <w:numId w:val="2"/>
        </w:numPr>
        <w:spacing w:after="0" w:before="40"/>
      </w:pPr>
      <w:r>
        <w:rPr>
          <w:rFonts w:ascii="Garamond" w:cs="Garamond" w:eastAsia="Garamond" w:hAnsi="Garamond"/>
          <w:sz w:val="20"/>
          <w:szCs w:val="20"/>
        </w:rPr>
        <w:t xml:space="preserve">Invited CLE Presenter: Grutter v. Bollinger, Affirmative Action, Justice and Latinos. Hispanic National Bar Association Annual Convention, New York — October 2004.</w:t>
      </w:r>
    </w:p>
    <w:p>
      <w:pPr>
        <w:pStyle w:val="ListParagraph"/>
        <w:numPr>
          <w:ilvl w:val="0"/>
          <w:numId w:val="2"/>
        </w:numPr>
        <w:spacing w:after="0" w:before="40"/>
      </w:pPr>
      <w:r>
        <w:rPr>
          <w:rFonts w:ascii="Garamond" w:cs="Garamond" w:eastAsia="Garamond" w:hAnsi="Garamond"/>
          <w:sz w:val="20"/>
          <w:szCs w:val="20"/>
        </w:rPr>
        <w:t xml:space="preserve">Invited Keynote Speaker: A Conversation with Justice Sandra Day O'Connor. Ninth Circuit Judicial Conference, Monterey, California — July 2004.</w:t>
      </w:r>
    </w:p>
    <w:p>
      <w:pPr>
        <w:pStyle w:val="ListParagraph"/>
        <w:numPr>
          <w:ilvl w:val="0"/>
          <w:numId w:val="2"/>
        </w:numPr>
        <w:spacing w:after="0" w:before="40"/>
      </w:pPr>
      <w:r>
        <w:rPr>
          <w:rFonts w:ascii="Garamond" w:cs="Garamond" w:eastAsia="Garamond" w:hAnsi="Garamond"/>
          <w:sz w:val="20"/>
          <w:szCs w:val="20"/>
        </w:rPr>
        <w:t xml:space="preserve">Invited Discussant, LatCrit IX: Countering Kulturkampf Politics Through Critique and Justice Pedagogy. Opening Panel, Philadelphia — April 2004.</w:t>
      </w:r>
    </w:p>
    <w:p>
      <w:pPr>
        <w:pStyle w:val="ListParagraph"/>
        <w:numPr>
          <w:ilvl w:val="0"/>
          <w:numId w:val="2"/>
        </w:numPr>
        <w:spacing w:after="0" w:before="40"/>
      </w:pPr>
      <w:r>
        <w:rPr>
          <w:rFonts w:ascii="Garamond" w:cs="Garamond" w:eastAsia="Garamond" w:hAnsi="Garamond"/>
          <w:sz w:val="20"/>
          <w:szCs w:val="20"/>
        </w:rPr>
        <w:t xml:space="preserve">Conference on Comparative and Latin American Law. Whitney R. Harris Institute for Global Studies, Washington University School of Law — May 2003, May 2005, April 2007.</w:t>
      </w:r>
    </w:p>
    <w:p>
      <w:pPr>
        <w:pStyle w:val="ListParagraph"/>
        <w:numPr>
          <w:ilvl w:val="0"/>
          <w:numId w:val="2"/>
        </w:numPr>
        <w:spacing w:after="0" w:before="40"/>
      </w:pPr>
      <w:r>
        <w:rPr>
          <w:rFonts w:ascii="Garamond" w:cs="Garamond" w:eastAsia="Garamond" w:hAnsi="Garamond"/>
          <w:sz w:val="20"/>
          <w:szCs w:val="20"/>
        </w:rPr>
        <w:t xml:space="preserve">CLE Presenter: Civil Rights Litigation and Section 1983. Nuts-and-Bolts Series, Pima County Superior Court — January 2007.</w:t>
      </w:r>
    </w:p>
    <w:p>
      <w:pPr>
        <w:pStyle w:val="ListParagraph"/>
        <w:numPr>
          <w:ilvl w:val="0"/>
          <w:numId w:val="2"/>
        </w:numPr>
        <w:spacing w:after="0" w:before="40"/>
      </w:pPr>
      <w:r>
        <w:rPr>
          <w:rFonts w:ascii="Garamond" w:cs="Garamond" w:eastAsia="Garamond" w:hAnsi="Garamond"/>
          <w:sz w:val="20"/>
          <w:szCs w:val="20"/>
        </w:rPr>
        <w:t xml:space="preserve">Panelist: Five Myths on Immigration. Federal District Court Conference, Phoenix — 2006.</w:t>
      </w:r>
    </w:p>
    <w:p>
      <w:pPr>
        <w:pStyle w:val="ListParagraph"/>
        <w:numPr>
          <w:ilvl w:val="0"/>
          <w:numId w:val="2"/>
        </w:numPr>
        <w:spacing w:after="0" w:before="40"/>
      </w:pPr>
      <w:r>
        <w:rPr>
          <w:rFonts w:ascii="Garamond" w:cs="Garamond" w:eastAsia="Garamond" w:hAnsi="Garamond"/>
          <w:sz w:val="20"/>
          <w:szCs w:val="20"/>
        </w:rPr>
        <w:t xml:space="preserve">CLE Presenter: The Federal Tort Claims Act: A Primer on Suing Uncle Sam. State Bar of Arizona — May 2008, 2009, 2013.</w:t>
      </w:r>
    </w:p>
    <w:p>
      <w:pPr>
        <w:pStyle w:val="ListParagraph"/>
        <w:numPr>
          <w:ilvl w:val="0"/>
          <w:numId w:val="2"/>
        </w:numPr>
        <w:spacing w:after="0" w:before="40"/>
      </w:pPr>
      <w:r>
        <w:rPr>
          <w:rFonts w:ascii="Garamond" w:cs="Garamond" w:eastAsia="Garamond" w:hAnsi="Garamond"/>
          <w:sz w:val="20"/>
          <w:szCs w:val="20"/>
        </w:rPr>
        <w:t xml:space="preserve">Invited Seminar Presenter: A Comparative Look at Latin American and United States Legal Systems. University of Arizona, Western Hemisphere Institute Fulbright Program — 2008, 2009, 2010.</w:t>
      </w:r>
    </w:p>
    <w:p>
      <w:pPr>
        <w:pBdr>
          <w:bottom w:val="single" w:color="1B3A5C" w:sz="8" w:space="4"/>
        </w:pBdr>
        <w:spacing w:after="80" w:before="320"/>
      </w:pPr>
      <w:r>
        <w:rPr>
          <w:rFonts w:ascii="Garamond" w:cs="Garamond" w:eastAsia="Garamond" w:hAnsi="Garamond"/>
          <w:b/>
          <w:bCs/>
          <w:color w:val="1B3A5C"/>
          <w:spacing w:val="80"/>
          <w:sz w:val="22"/>
          <w:szCs w:val="22"/>
        </w:rPr>
        <w:t xml:space="preserve">UNIVERSITY &amp; PROFESSIONAL SERVICE</w:t>
      </w:r>
    </w:p>
    <w:p>
      <w:pPr>
        <w:pStyle w:val="ListParagraph"/>
        <w:numPr>
          <w:ilvl w:val="0"/>
          <w:numId w:val="2"/>
        </w:numPr>
        <w:spacing w:after="0" w:before="40"/>
      </w:pPr>
      <w:r>
        <w:rPr>
          <w:rFonts w:ascii="Garamond" w:cs="Garamond" w:eastAsia="Garamond" w:hAnsi="Garamond"/>
          <w:sz w:val="20"/>
          <w:szCs w:val="20"/>
        </w:rPr>
        <w:t xml:space="preserve">Vice-Chair, Committee on Academic Freedom and Tenure, University of Arizona — 2010–2011</w:t>
      </w:r>
    </w:p>
    <w:p>
      <w:pPr>
        <w:pStyle w:val="ListParagraph"/>
        <w:numPr>
          <w:ilvl w:val="0"/>
          <w:numId w:val="2"/>
        </w:numPr>
        <w:spacing w:after="0" w:before="40"/>
      </w:pPr>
      <w:r>
        <w:rPr>
          <w:rFonts w:ascii="Garamond" w:cs="Garamond" w:eastAsia="Garamond" w:hAnsi="Garamond"/>
          <w:sz w:val="20"/>
          <w:szCs w:val="20"/>
        </w:rPr>
        <w:t xml:space="preserve">Secretary, Association of Women Faculty, University of Arizona — 2010–2011</w:t>
      </w:r>
    </w:p>
    <w:p>
      <w:pPr>
        <w:pStyle w:val="ListParagraph"/>
        <w:numPr>
          <w:ilvl w:val="0"/>
          <w:numId w:val="2"/>
        </w:numPr>
        <w:spacing w:after="0" w:before="40"/>
      </w:pPr>
      <w:r>
        <w:rPr>
          <w:rFonts w:ascii="Garamond" w:cs="Garamond" w:eastAsia="Garamond" w:hAnsi="Garamond"/>
          <w:sz w:val="20"/>
          <w:szCs w:val="20"/>
        </w:rPr>
        <w:t xml:space="preserve">President, Phi Beta Kappa, Arizona Chapter — 2009–2010</w:t>
      </w:r>
    </w:p>
    <w:p>
      <w:pPr>
        <w:pStyle w:val="ListParagraph"/>
        <w:numPr>
          <w:ilvl w:val="0"/>
          <w:numId w:val="2"/>
        </w:numPr>
        <w:spacing w:after="0" w:before="40"/>
      </w:pPr>
      <w:r>
        <w:rPr>
          <w:rFonts w:ascii="Garamond" w:cs="Garamond" w:eastAsia="Garamond" w:hAnsi="Garamond"/>
          <w:sz w:val="20"/>
          <w:szCs w:val="20"/>
        </w:rPr>
        <w:t xml:space="preserve">Lawyer Representative, Ninth Circuit Judicial Conference of the United States — 2005–2007</w:t>
      </w:r>
    </w:p>
    <w:p>
      <w:pPr>
        <w:pStyle w:val="ListParagraph"/>
        <w:numPr>
          <w:ilvl w:val="0"/>
          <w:numId w:val="2"/>
        </w:numPr>
        <w:spacing w:after="0" w:before="40"/>
      </w:pPr>
      <w:r>
        <w:rPr>
          <w:rFonts w:ascii="Garamond" w:cs="Garamond" w:eastAsia="Garamond" w:hAnsi="Garamond"/>
          <w:sz w:val="20"/>
          <w:szCs w:val="20"/>
        </w:rPr>
        <w:t xml:space="preserve">Regional President, Hispanic National Bar Association — 2005–2006</w:t>
      </w:r>
    </w:p>
    <w:p>
      <w:pPr>
        <w:pStyle w:val="ListParagraph"/>
        <w:numPr>
          <w:ilvl w:val="0"/>
          <w:numId w:val="2"/>
        </w:numPr>
        <w:spacing w:after="0" w:before="40"/>
      </w:pPr>
      <w:r>
        <w:rPr>
          <w:rFonts w:ascii="Garamond" w:cs="Garamond" w:eastAsia="Garamond" w:hAnsi="Garamond"/>
          <w:sz w:val="20"/>
          <w:szCs w:val="20"/>
        </w:rPr>
        <w:t xml:space="preserve">Chair, Merit Selection Panel, United States District Court Magistrate Retention Committee — 2005–2006, 2013</w:t>
      </w:r>
    </w:p>
    <w:p>
      <w:pPr>
        <w:pStyle w:val="ListParagraph"/>
        <w:numPr>
          <w:ilvl w:val="0"/>
          <w:numId w:val="2"/>
        </w:numPr>
        <w:spacing w:after="0" w:before="40"/>
      </w:pPr>
      <w:r>
        <w:rPr>
          <w:rFonts w:ascii="Garamond" w:cs="Garamond" w:eastAsia="Garamond" w:hAnsi="Garamond"/>
          <w:sz w:val="20"/>
          <w:szCs w:val="20"/>
        </w:rPr>
        <w:t xml:space="preserve">Co-Chair, Ninth Circuit Lawyers' Representatives, District of Arizona — 2003–2004</w:t>
      </w:r>
    </w:p>
    <w:p>
      <w:pPr>
        <w:pStyle w:val="ListParagraph"/>
        <w:numPr>
          <w:ilvl w:val="0"/>
          <w:numId w:val="2"/>
        </w:numPr>
        <w:spacing w:after="0" w:before="40"/>
      </w:pPr>
      <w:r>
        <w:rPr>
          <w:rFonts w:ascii="Garamond" w:cs="Garamond" w:eastAsia="Garamond" w:hAnsi="Garamond"/>
          <w:sz w:val="20"/>
          <w:szCs w:val="20"/>
        </w:rPr>
        <w:t xml:space="preserve">Member, Local Rules Drafting Committee, Federal Rules of Civil Procedure, District of Arizona — 2001–2003</w:t>
      </w:r>
    </w:p>
    <w:p>
      <w:pPr>
        <w:pBdr>
          <w:bottom w:val="single" w:color="1B3A5C" w:sz="8" w:space="4"/>
        </w:pBdr>
        <w:spacing w:after="80" w:before="320"/>
      </w:pPr>
      <w:r>
        <w:rPr>
          <w:rFonts w:ascii="Garamond" w:cs="Garamond" w:eastAsia="Garamond" w:hAnsi="Garamond"/>
          <w:b/>
          <w:bCs/>
          <w:color w:val="1B3A5C"/>
          <w:spacing w:val="80"/>
          <w:sz w:val="22"/>
          <w:szCs w:val="22"/>
        </w:rPr>
        <w:t xml:space="preserve">LANGUAGES</w:t>
      </w:r>
    </w:p>
    <w:p>
      <w:pPr>
        <w:spacing w:after="0" w:before="40"/>
      </w:pPr>
      <w:r>
        <w:rPr>
          <w:rFonts w:ascii="Garamond" w:cs="Garamond" w:eastAsia="Garamond" w:hAnsi="Garamond"/>
          <w:color w:val="000000"/>
          <w:sz w:val="20"/>
          <w:szCs w:val="20"/>
        </w:rPr>
        <w:t xml:space="preserve">English (native) · Spanish (native, Latin American) · Portuguese (fluent) · French (proficient)</w:t>
      </w:r>
    </w:p>
    <w:p>
      <w:pPr>
        <w:spacing w:after="0" w:before="120"/>
      </w:pPr>
      <w:r>
        <w:t xml:space="preserve"/>
      </w:r>
    </w:p>
    <w:p>
      <w:pPr>
        <w:pBdr>
          <w:top w:val="single" w:color="1B3A5C" w:sz="4" w:space="4"/>
        </w:pBdr>
        <w:spacing w:before="80"/>
        <w:jc w:val="center"/>
      </w:pPr>
      <w:r>
        <w:rPr>
          <w:rFonts w:ascii="Garamond" w:cs="Garamond" w:eastAsia="Garamond" w:hAnsi="Garamond"/>
          <w:i/>
          <w:iCs/>
          <w:color w:val="4A6FA5"/>
          <w:sz w:val="18"/>
          <w:szCs w:val="18"/>
        </w:rPr>
        <w:t xml:space="preserve">neurorebel.org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2026-05-16T16:57:35.604Z</dcterms:created>
  <dcterms:modified xsi:type="dcterms:W3CDTF">2026-05-16T16:57:35.605Z</dcterms:modified>
</cp:coreProperties>
</file>

<file path=docProps/custom.xml><?xml version="1.0" encoding="utf-8"?>
<Properties xmlns="http://schemas.openxmlformats.org/officeDocument/2006/custom-properties" xmlns:vt="http://schemas.openxmlformats.org/officeDocument/2006/docPropsVTypes"/>
</file>